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D5BF2" w14:textId="77777777" w:rsidR="002E13B1" w:rsidRDefault="002E13B1" w:rsidP="002E13B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Fogalmi magyarázó és kitöltési útmutató szén, érc és bauxit esetén kitöltendő adatlapokhoz</w:t>
      </w:r>
    </w:p>
    <w:p w14:paraId="127CF95B"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Lelőhely:</w:t>
      </w:r>
      <w:r>
        <w:rPr>
          <w:rFonts w:ascii="Times New Roman" w:hAnsi="Times New Roman" w:cs="Times New Roman"/>
          <w:b/>
          <w:bCs/>
          <w:i/>
          <w:sz w:val="24"/>
          <w:szCs w:val="24"/>
        </w:rPr>
        <w:t xml:space="preserve"> </w:t>
      </w:r>
      <w:r>
        <w:rPr>
          <w:rFonts w:ascii="Times New Roman" w:hAnsi="Times New Roman" w:cs="Times New Roman"/>
          <w:iCs/>
          <w:sz w:val="24"/>
          <w:szCs w:val="24"/>
        </w:rPr>
        <w:t xml:space="preserve">az ásványi nyersanyagok természetes előfordulásának helye (pl. réteg, telep, lerakódás) </w:t>
      </w:r>
      <w:r>
        <w:rPr>
          <w:rFonts w:ascii="Times New Roman" w:hAnsi="Times New Roman" w:cs="Times New Roman"/>
          <w:sz w:val="24"/>
          <w:szCs w:val="24"/>
        </w:rPr>
        <w:t>(ld. Bt. 49. § 19.). A föld felszínének és mélyének azon része, amelynek ásványi nyersanyag kutatásáról a Bányafelügyelet zárójelentést, földtani készletszámítást fogadott el.</w:t>
      </w:r>
    </w:p>
    <w:p w14:paraId="5F76D280"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Bányatelek:</w:t>
      </w:r>
      <w:r>
        <w:rPr>
          <w:rFonts w:ascii="Times New Roman" w:hAnsi="Times New Roman" w:cs="Times New Roman"/>
          <w:b/>
          <w:bCs/>
          <w:i/>
          <w:sz w:val="24"/>
          <w:szCs w:val="24"/>
        </w:rPr>
        <w:t xml:space="preserve"> </w:t>
      </w:r>
      <w:r>
        <w:rPr>
          <w:rFonts w:ascii="Times New Roman" w:hAnsi="Times New Roman" w:cs="Times New Roman"/>
          <w:sz w:val="24"/>
          <w:szCs w:val="24"/>
        </w:rPr>
        <w:t xml:space="preserve">a föld felszínének és mélyének </w:t>
      </w:r>
      <w:r>
        <w:rPr>
          <w:rFonts w:ascii="Times New Roman" w:hAnsi="Times New Roman" w:cs="Times New Roman"/>
          <w:iCs/>
          <w:sz w:val="24"/>
          <w:szCs w:val="24"/>
        </w:rPr>
        <w:t>á</w:t>
      </w:r>
      <w:r>
        <w:rPr>
          <w:rFonts w:ascii="Times New Roman" w:hAnsi="Times New Roman" w:cs="Times New Roman"/>
          <w:sz w:val="24"/>
          <w:szCs w:val="24"/>
        </w:rPr>
        <w:t>sványi nyersanyag feltárására és kitermelésére elhatárolt része (Bt. 26. § (1) alapján). A bányatelket a Bányafelügyelet határozattal állapítja meg.</w:t>
      </w:r>
    </w:p>
    <w:p w14:paraId="6C766C69"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Bányavállalkozó:</w:t>
      </w:r>
      <w:r>
        <w:rPr>
          <w:rFonts w:ascii="Times New Roman" w:hAnsi="Times New Roman" w:cs="Times New Roman"/>
          <w:sz w:val="24"/>
          <w:szCs w:val="24"/>
        </w:rPr>
        <w:t xml:space="preserve"> a bányászati tevékenység végzésére jogosult jogi vagy természetes személy (</w:t>
      </w:r>
      <w:r>
        <w:rPr>
          <w:rFonts w:ascii="Times New Roman" w:hAnsi="Times New Roman" w:cs="Times New Roman"/>
          <w:color w:val="000000"/>
          <w:sz w:val="24"/>
          <w:szCs w:val="24"/>
        </w:rPr>
        <w:t>ld. Bt. 49. § 5.).</w:t>
      </w:r>
    </w:p>
    <w:p w14:paraId="1629F846" w14:textId="77777777" w:rsidR="002E13B1" w:rsidRDefault="002E13B1" w:rsidP="002E13B1">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sz w:val="24"/>
          <w:szCs w:val="24"/>
        </w:rPr>
        <w:t>Meddőanyag</w:t>
      </w:r>
      <w:r>
        <w:rPr>
          <w:rFonts w:ascii="Times New Roman" w:hAnsi="Times New Roman" w:cs="Times New Roman"/>
          <w:sz w:val="24"/>
          <w:szCs w:val="24"/>
        </w:rPr>
        <w:t>: azon anyag, amely a kutatási zárójelentésben a hatósági engedély alapján nem lett nyersanyaggá minősítve. A tájrendezésre, illetve tömedékelésre fel nem használt, a bányaüzemben maradt meddő anyagok – a vonatkozó jogszabályokban meghatározott esetekben – bányászati hulladékká minősülnek. A meddőanyag jogszabályi meghatározása a Bt. 49. § 32. pontjában található.</w:t>
      </w:r>
    </w:p>
    <w:p w14:paraId="63266048" w14:textId="0893A918" w:rsidR="002E13B1" w:rsidRDefault="002E13B1" w:rsidP="002E13B1">
      <w:pPr>
        <w:spacing w:line="240" w:lineRule="auto"/>
        <w:jc w:val="both"/>
        <w:rPr>
          <w:rFonts w:ascii="Times New Roman" w:hAnsi="Times New Roman" w:cs="Times New Roman"/>
          <w:bCs/>
          <w:iCs/>
          <w:sz w:val="24"/>
          <w:szCs w:val="24"/>
        </w:rPr>
      </w:pPr>
      <w:r>
        <w:rPr>
          <w:rFonts w:ascii="Times New Roman" w:hAnsi="Times New Roman" w:cs="Times New Roman"/>
          <w:i/>
          <w:sz w:val="24"/>
          <w:szCs w:val="24"/>
        </w:rPr>
        <w:t>Bányászati hulladék:</w:t>
      </w:r>
      <w:r>
        <w:rPr>
          <w:rFonts w:ascii="Times New Roman" w:hAnsi="Times New Roman" w:cs="Times New Roman"/>
          <w:sz w:val="24"/>
          <w:szCs w:val="24"/>
        </w:rPr>
        <w:t xml:space="preserve"> az az ásványi nyersanyag –kutatás, –kitermelés, –előkészítés során keletkezett fúróiszap, meddő, vagy </w:t>
      </w:r>
      <w:r>
        <w:rPr>
          <w:rFonts w:ascii="Times New Roman" w:hAnsi="Times New Roman" w:cs="Times New Roman"/>
          <w:iCs/>
          <w:sz w:val="24"/>
          <w:szCs w:val="24"/>
        </w:rPr>
        <w:t>maradékanyag</w:t>
      </w:r>
      <w:r>
        <w:rPr>
          <w:rFonts w:ascii="Times New Roman" w:hAnsi="Times New Roman" w:cs="Times New Roman"/>
          <w:i/>
          <w:sz w:val="24"/>
          <w:szCs w:val="24"/>
        </w:rPr>
        <w:t>,</w:t>
      </w:r>
      <w:r>
        <w:rPr>
          <w:rFonts w:ascii="Times New Roman" w:hAnsi="Times New Roman" w:cs="Times New Roman"/>
          <w:sz w:val="24"/>
          <w:szCs w:val="24"/>
        </w:rPr>
        <w:t xml:space="preserve"> amelyet azonnal vagy a bányászati hulladékok kezeléséről szóló </w:t>
      </w:r>
      <w:r w:rsidR="002521F3" w:rsidRPr="002521F3">
        <w:rPr>
          <w:rFonts w:ascii="Times New Roman" w:hAnsi="Times New Roman" w:cs="Times New Roman"/>
          <w:sz w:val="24"/>
          <w:szCs w:val="24"/>
        </w:rPr>
        <w:t>13/2022. (I. 28.) SZTFH rendelet</w:t>
      </w:r>
      <w:r>
        <w:rPr>
          <w:rFonts w:ascii="Times New Roman" w:hAnsi="Times New Roman" w:cs="Times New Roman"/>
          <w:sz w:val="24"/>
          <w:szCs w:val="24"/>
        </w:rPr>
        <w:t xml:space="preserve">ben meghatározott időn túl bányászati hulladékkezelő létesítményben helyeztek el. Hulladéknak minősül az egyébként ártalmatlan meddő, ha azt nem tömedékelik vissza vagy nem értékesítik belátható időn belül. A bányászati hulladék jogszabályi meghatározása a Bt. 49. § 43. pontjában található. A bányászati hulladék lehet </w:t>
      </w:r>
      <w:r>
        <w:rPr>
          <w:rFonts w:ascii="Times New Roman" w:hAnsi="Times New Roman" w:cs="Times New Roman"/>
          <w:bCs/>
          <w:iCs/>
          <w:sz w:val="24"/>
          <w:szCs w:val="24"/>
        </w:rPr>
        <w:t>inert- veszélyes- illetve nem inert és nem veszélyes.</w:t>
      </w:r>
    </w:p>
    <w:p w14:paraId="5248959A"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Inert meddő/hulladék</w:t>
      </w:r>
      <w:r>
        <w:rPr>
          <w:rFonts w:ascii="Times New Roman" w:hAnsi="Times New Roman" w:cs="Times New Roman"/>
          <w:sz w:val="24"/>
          <w:szCs w:val="24"/>
        </w:rPr>
        <w:t>: Az inert bányászati hulladék ismérvei a következők:</w:t>
      </w:r>
    </w:p>
    <w:p w14:paraId="45A020E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bányafelügyelet inert bányászati hulladékok listájában szerepel, vagy</w:t>
      </w:r>
    </w:p>
    <w:p w14:paraId="2B1BA765"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nem oldódó, nem széteső, nem öngyulladó, nem éghető; és</w:t>
      </w:r>
    </w:p>
    <w:p w14:paraId="5EF1A73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szulfidkén tartalma ≤0,1%, vagy ≤1,0% ha a semlegesítési potenciálja ≥3; és</w:t>
      </w:r>
    </w:p>
    <w:p w14:paraId="77A95E98" w14:textId="77777777" w:rsidR="002E13B1" w:rsidRDefault="002E13B1" w:rsidP="002E13B1">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nem tartalmaz veszélyes anyagokat vagy a környezetre és egészségre ártalmas elemeket (különösen As, Cd, Co, Cr, Cu, Hg, Mo, Ni, Pb, Zn) a 6/2009.(IV.14.) KvVM-EüM-FVM rendelet 1. és 2. melléklet „B” szennyezettségi határértékét illetően.</w:t>
      </w:r>
    </w:p>
    <w:p w14:paraId="379ED718" w14:textId="77777777" w:rsidR="002E13B1" w:rsidRDefault="002E13B1" w:rsidP="002E13B1">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Veszélyes hulladék:</w:t>
      </w:r>
      <w:r>
        <w:rPr>
          <w:rFonts w:ascii="Times New Roman" w:hAnsi="Times New Roman" w:cs="Times New Roman"/>
          <w:sz w:val="24"/>
          <w:szCs w:val="24"/>
        </w:rPr>
        <w:t xml:space="preserve"> A veszélyes bányászati hulladékok minősítésére az általános hulladékokra vonatkozó módszer használandó, azaz a Hulladékgazdálkodásról szóló 2012. évi CLXXXV. tv. és a 72/2013. (VIII. 27.) VM rendelet rendelkezései. </w:t>
      </w:r>
    </w:p>
    <w:p w14:paraId="63AE8085" w14:textId="77777777" w:rsidR="002E13B1" w:rsidRDefault="002E13B1" w:rsidP="002E13B1">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Nem inert, nem veszélyes meddő/hulladék: </w:t>
      </w:r>
      <w:r>
        <w:rPr>
          <w:rFonts w:ascii="Times New Roman" w:hAnsi="Times New Roman" w:cs="Times New Roman"/>
          <w:sz w:val="24"/>
          <w:szCs w:val="24"/>
        </w:rPr>
        <w:t>Tekintettel arra, hogy minősítési módszer csak az inert és a veszélyes hulladékokra ismert, azaz, ha a hulladék egyikbe sem illik, akkor a hulladék a nem inert nem veszélyes kategóriába tartozik.</w:t>
      </w:r>
    </w:p>
    <w:p w14:paraId="38854F2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Bányajáradék köteles anyag:</w:t>
      </w:r>
      <w:r>
        <w:rPr>
          <w:rFonts w:ascii="Times New Roman" w:hAnsi="Times New Roman" w:cs="Times New Roman"/>
          <w:sz w:val="24"/>
          <w:szCs w:val="24"/>
        </w:rPr>
        <w:t xml:space="preserve"> a Bt. 20. §, a Bt. Vhr. 4. § és az ásványi nyersanyagok és geotermikus energia fajlagos értékének, valamint az értékszámításának módjának meghatározásáról szóló 54/2008. (II.20.) Korm. rendelet 2. § rendelkezéseivel összhangban, azon minősített nyersanyag mennyiség, amelyet a bányavállalkozó kitermelt (in situ helyéről, a bányafaltól elválasztott). Bányajáradék köteles anyag azon nem minősített (meddő) anyag, amelyet a bányavállalkozó a kitermelést követően értékesített, illetve üzletszerűen hasznosított.</w:t>
      </w:r>
    </w:p>
    <w:p w14:paraId="6D394C2C" w14:textId="77777777" w:rsidR="002E13B1" w:rsidRDefault="002E13B1" w:rsidP="002E13B1">
      <w:pPr>
        <w:jc w:val="center"/>
        <w:rPr>
          <w:rFonts w:ascii="Times New Roman" w:hAnsi="Times New Roman" w:cs="Times New Roman"/>
          <w:sz w:val="24"/>
          <w:szCs w:val="24"/>
        </w:rPr>
      </w:pPr>
      <w:r>
        <w:rPr>
          <w:rFonts w:ascii="Times New Roman" w:hAnsi="Times New Roman" w:cs="Times New Roman"/>
          <w:b/>
          <w:sz w:val="24"/>
          <w:szCs w:val="24"/>
        </w:rPr>
        <w:lastRenderedPageBreak/>
        <w:t>Az adatlap azonosító adatai</w:t>
      </w:r>
    </w:p>
    <w:p w14:paraId="4A2C341D"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Bányatelek neve: </w:t>
      </w:r>
      <w:r>
        <w:rPr>
          <w:rFonts w:ascii="Times New Roman" w:hAnsi="Times New Roman" w:cs="Times New Roman"/>
          <w:sz w:val="24"/>
          <w:szCs w:val="24"/>
        </w:rPr>
        <w:t>A bányatelek megállapítási határozatban foglaltakkal összhangban – azon bányatelek megnevezése, amelyről a jelen adatlapon adatokat szolgáltatnak.</w:t>
      </w:r>
    </w:p>
    <w:p w14:paraId="1CD80764"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lelőhely közigazgatási helye:</w:t>
      </w:r>
      <w:r>
        <w:rPr>
          <w:rFonts w:ascii="Times New Roman" w:hAnsi="Times New Roman" w:cs="Times New Roman"/>
          <w:sz w:val="24"/>
          <w:szCs w:val="24"/>
        </w:rPr>
        <w:t xml:space="preserve"> A bányatelek – ennek hiányában a lelőhely – közigazgatási hovatartozása. Amennyiben ez több települést érint, minden érintett települést fel kell tüntetni oly módon, hogy a felsorolás a legnagyobb területrészt érintő településsel kezdődjön.</w:t>
      </w:r>
    </w:p>
    <w:p w14:paraId="26A04C6A"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lelőhely egyéb megnevezése:</w:t>
      </w:r>
      <w:r>
        <w:rPr>
          <w:rFonts w:ascii="Times New Roman" w:hAnsi="Times New Roman" w:cs="Times New Roman"/>
          <w:sz w:val="24"/>
          <w:szCs w:val="24"/>
        </w:rPr>
        <w:t xml:space="preserve"> Amennyiben a nyersanyag lelőhely más néven is szerepel, mint a bányatelek elnevezés, vagy a lelőhely bányatelekkel nem fedett, a további, beazonosításra alkalmas megnevezéseket, vagy az érintett helyrajzi számokat itt kell szerepeltetni. </w:t>
      </w:r>
    </w:p>
    <w:p w14:paraId="6EA0441D"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Bányavállalkozó neve, címe:</w:t>
      </w:r>
      <w:r>
        <w:rPr>
          <w:rFonts w:ascii="Times New Roman" w:hAnsi="Times New Roman" w:cs="Times New Roman"/>
          <w:sz w:val="24"/>
          <w:szCs w:val="24"/>
        </w:rPr>
        <w:t xml:space="preserve"> A bányatelek, illetve lelőhely jogosítottjának cégszerűen bejegyzett neve és címe.</w:t>
      </w:r>
    </w:p>
    <w:p w14:paraId="156202ED" w14:textId="042F90D2"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Lelőhely </w:t>
      </w:r>
      <w:r w:rsidR="00130017">
        <w:rPr>
          <w:rFonts w:ascii="Times New Roman" w:hAnsi="Times New Roman" w:cs="Times New Roman"/>
          <w:i/>
          <w:sz w:val="24"/>
          <w:szCs w:val="24"/>
        </w:rPr>
        <w:t xml:space="preserve">SZTFH </w:t>
      </w:r>
      <w:r>
        <w:rPr>
          <w:rFonts w:ascii="Times New Roman" w:hAnsi="Times New Roman" w:cs="Times New Roman"/>
          <w:i/>
          <w:sz w:val="24"/>
          <w:szCs w:val="24"/>
        </w:rPr>
        <w:t>ásványvagyon-nyilvántartási kódja:</w:t>
      </w:r>
      <w:r>
        <w:rPr>
          <w:rFonts w:ascii="Times New Roman" w:hAnsi="Times New Roman" w:cs="Times New Roman"/>
          <w:sz w:val="24"/>
          <w:szCs w:val="24"/>
        </w:rPr>
        <w:t xml:space="preserve"> A </w:t>
      </w:r>
      <w:r w:rsidR="00130017">
        <w:rPr>
          <w:rFonts w:ascii="Times New Roman" w:hAnsi="Times New Roman" w:cs="Times New Roman"/>
          <w:sz w:val="24"/>
          <w:szCs w:val="24"/>
        </w:rPr>
        <w:t>S</w:t>
      </w:r>
      <w:r w:rsidR="002521F3">
        <w:rPr>
          <w:rFonts w:ascii="Times New Roman" w:hAnsi="Times New Roman" w:cs="Times New Roman"/>
          <w:sz w:val="24"/>
          <w:szCs w:val="24"/>
        </w:rPr>
        <w:t xml:space="preserve">zabályozott </w:t>
      </w:r>
      <w:r w:rsidR="00130017">
        <w:rPr>
          <w:rFonts w:ascii="Times New Roman" w:hAnsi="Times New Roman" w:cs="Times New Roman"/>
          <w:sz w:val="24"/>
          <w:szCs w:val="24"/>
        </w:rPr>
        <w:t>T</w:t>
      </w:r>
      <w:r w:rsidR="002521F3">
        <w:rPr>
          <w:rFonts w:ascii="Times New Roman" w:hAnsi="Times New Roman" w:cs="Times New Roman"/>
          <w:sz w:val="24"/>
          <w:szCs w:val="24"/>
        </w:rPr>
        <w:t xml:space="preserve">evékenységek </w:t>
      </w:r>
      <w:r w:rsidR="00130017">
        <w:rPr>
          <w:rFonts w:ascii="Times New Roman" w:hAnsi="Times New Roman" w:cs="Times New Roman"/>
          <w:sz w:val="24"/>
          <w:szCs w:val="24"/>
        </w:rPr>
        <w:t>F</w:t>
      </w:r>
      <w:r w:rsidR="002521F3">
        <w:rPr>
          <w:rFonts w:ascii="Times New Roman" w:hAnsi="Times New Roman" w:cs="Times New Roman"/>
          <w:sz w:val="24"/>
          <w:szCs w:val="24"/>
        </w:rPr>
        <w:t xml:space="preserve">elügyeleti </w:t>
      </w:r>
      <w:r w:rsidR="00130017">
        <w:rPr>
          <w:rFonts w:ascii="Times New Roman" w:hAnsi="Times New Roman" w:cs="Times New Roman"/>
          <w:sz w:val="24"/>
          <w:szCs w:val="24"/>
        </w:rPr>
        <w:t>H</w:t>
      </w:r>
      <w:r w:rsidR="002521F3">
        <w:rPr>
          <w:rFonts w:ascii="Times New Roman" w:hAnsi="Times New Roman" w:cs="Times New Roman"/>
          <w:sz w:val="24"/>
          <w:szCs w:val="24"/>
        </w:rPr>
        <w:t>atósága (továbbiakban: SZTFH)</w:t>
      </w:r>
      <w:r>
        <w:rPr>
          <w:rFonts w:ascii="Times New Roman" w:hAnsi="Times New Roman" w:cs="Times New Roman"/>
          <w:sz w:val="24"/>
          <w:szCs w:val="24"/>
        </w:rPr>
        <w:t xml:space="preserve"> ásványvagyon-nyilvántartásában szereplő, a lelőhelyet azonosító kód.</w:t>
      </w:r>
    </w:p>
    <w:p w14:paraId="6C16F145" w14:textId="77777777" w:rsidR="002E13B1" w:rsidRDefault="002E13B1" w:rsidP="002E13B1">
      <w:pPr>
        <w:jc w:val="center"/>
        <w:rPr>
          <w:rFonts w:ascii="Times New Roman" w:hAnsi="Times New Roman" w:cs="Times New Roman"/>
          <w:b/>
          <w:iCs/>
          <w:sz w:val="24"/>
          <w:szCs w:val="24"/>
        </w:rPr>
      </w:pPr>
      <w:r>
        <w:rPr>
          <w:rFonts w:ascii="Times New Roman" w:hAnsi="Times New Roman" w:cs="Times New Roman"/>
          <w:b/>
          <w:iCs/>
          <w:sz w:val="24"/>
          <w:szCs w:val="24"/>
        </w:rPr>
        <w:t>A nyersanyag kódja és megnevezése</w:t>
      </w:r>
    </w:p>
    <w:p w14:paraId="4732E697"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Nyersanyag kódja</w:t>
      </w:r>
      <w:r>
        <w:rPr>
          <w:rFonts w:ascii="Times New Roman" w:hAnsi="Times New Roman" w:cs="Times New Roman"/>
          <w:sz w:val="24"/>
          <w:szCs w:val="24"/>
        </w:rPr>
        <w:t>: Az 54/2008. (III. 20.) Korm. rendeletben (</w:t>
      </w:r>
      <w:r>
        <w:rPr>
          <w:rFonts w:ascii="Times New Roman" w:hAnsi="Times New Roman" w:cs="Times New Roman"/>
          <w:bCs/>
          <w:sz w:val="24"/>
          <w:szCs w:val="24"/>
        </w:rPr>
        <w:t>az ásványi nyersanyagok és a geotermikus energia fajlagos értékének, valamint az értékszámítás módjának meghatározásáról</w:t>
      </w:r>
      <w:r>
        <w:rPr>
          <w:rFonts w:ascii="Times New Roman" w:hAnsi="Times New Roman" w:cs="Times New Roman"/>
          <w:sz w:val="24"/>
          <w:szCs w:val="24"/>
        </w:rPr>
        <w:t>) szereplő nyersanyag kód.</w:t>
      </w:r>
    </w:p>
    <w:p w14:paraId="06C518E2" w14:textId="5CE045A6"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A bányatelek a megállapítása előtti készletszámítási területtel teljes egészében megegyezik, </w:t>
      </w:r>
      <w:r>
        <w:rPr>
          <w:rFonts w:ascii="Times New Roman" w:hAnsi="Times New Roman" w:cs="Times New Roman"/>
          <w:sz w:val="24"/>
          <w:szCs w:val="24"/>
        </w:rPr>
        <w:t xml:space="preserve">vagy </w:t>
      </w:r>
      <w:r>
        <w:rPr>
          <w:rFonts w:ascii="Times New Roman" w:hAnsi="Times New Roman" w:cs="Times New Roman"/>
          <w:i/>
          <w:sz w:val="24"/>
          <w:szCs w:val="24"/>
        </w:rPr>
        <w:t>csak egy része</w:t>
      </w:r>
      <w:r>
        <w:rPr>
          <w:rFonts w:ascii="Times New Roman" w:hAnsi="Times New Roman" w:cs="Times New Roman"/>
          <w:sz w:val="24"/>
          <w:szCs w:val="24"/>
        </w:rPr>
        <w:t xml:space="preserve">: Amennyiben csak egy része, kérjük, a megjegyzési rovatban fel kell tüntetni, hogy az ásványvagyon-megosztást elvégezték, és a változtatást az </w:t>
      </w:r>
      <w:r w:rsidR="00130017">
        <w:rPr>
          <w:rFonts w:ascii="Times New Roman" w:hAnsi="Times New Roman" w:cs="Times New Roman"/>
          <w:sz w:val="24"/>
          <w:szCs w:val="24"/>
        </w:rPr>
        <w:t>SZTFH</w:t>
      </w:r>
      <w:r>
        <w:rPr>
          <w:rFonts w:ascii="Times New Roman" w:hAnsi="Times New Roman" w:cs="Times New Roman"/>
          <w:sz w:val="24"/>
          <w:szCs w:val="24"/>
        </w:rPr>
        <w:t xml:space="preserve"> fele bejelentették.</w:t>
      </w:r>
    </w:p>
    <w:p w14:paraId="5AFC7DB6" w14:textId="77777777" w:rsidR="00602ECE" w:rsidRDefault="00602ECE" w:rsidP="00602ECE">
      <w:pPr>
        <w:spacing w:line="240" w:lineRule="auto"/>
        <w:rPr>
          <w:rFonts w:ascii="Times New Roman" w:hAnsi="Times New Roman" w:cs="Times New Roman"/>
          <w:sz w:val="24"/>
          <w:szCs w:val="24"/>
        </w:rPr>
      </w:pPr>
      <w:r>
        <w:rPr>
          <w:rFonts w:ascii="Times New Roman" w:hAnsi="Times New Roman" w:cs="Times New Roman"/>
          <w:i/>
          <w:iCs/>
          <w:sz w:val="24"/>
          <w:szCs w:val="24"/>
        </w:rPr>
        <w:t>Igénybe vett területek:</w:t>
      </w:r>
      <w:r>
        <w:rPr>
          <w:rFonts w:ascii="Times New Roman" w:hAnsi="Times New Roman" w:cs="Times New Roman"/>
          <w:sz w:val="24"/>
          <w:szCs w:val="24"/>
        </w:rPr>
        <w:t xml:space="preserve"> Ezekben a rovatokban fel kell tüntetni </w:t>
      </w:r>
      <w:r>
        <w:rPr>
          <w:rFonts w:ascii="Times New Roman" w:hAnsi="Times New Roman" w:cs="Times New Roman"/>
          <w:bCs/>
          <w:sz w:val="24"/>
          <w:szCs w:val="24"/>
        </w:rPr>
        <w:t>a tárgyévben</w:t>
      </w:r>
      <w:r>
        <w:rPr>
          <w:rFonts w:ascii="Times New Roman" w:hAnsi="Times New Roman" w:cs="Times New Roman"/>
          <w:sz w:val="24"/>
          <w:szCs w:val="24"/>
        </w:rPr>
        <w:t xml:space="preserve"> igénybe vett terület nagyságát (m</w:t>
      </w:r>
      <w:r>
        <w:rPr>
          <w:rFonts w:ascii="Times New Roman" w:hAnsi="Times New Roman" w:cs="Times New Roman"/>
          <w:sz w:val="24"/>
          <w:szCs w:val="24"/>
          <w:vertAlign w:val="superscript"/>
        </w:rPr>
        <w:t>2</w:t>
      </w:r>
      <w:r>
        <w:rPr>
          <w:rFonts w:ascii="Times New Roman" w:hAnsi="Times New Roman" w:cs="Times New Roman"/>
          <w:sz w:val="24"/>
          <w:szCs w:val="24"/>
        </w:rPr>
        <w:t>) az alábbi megbontásban:</w:t>
      </w:r>
    </w:p>
    <w:p w14:paraId="1B8420A4" w14:textId="77777777" w:rsidR="00602ECE" w:rsidRDefault="00602ECE" w:rsidP="0060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w:t>
      </w:r>
      <w:r w:rsidRPr="00777300">
        <w:rPr>
          <w:rFonts w:ascii="Times New Roman" w:hAnsi="Times New Roman" w:cs="Times New Roman"/>
          <w:sz w:val="24"/>
          <w:szCs w:val="24"/>
        </w:rPr>
        <w:t>ányászati célból a tárgyévben igénybe vett terület</w:t>
      </w:r>
      <w:r w:rsidRPr="00AC7F02">
        <w:rPr>
          <w:rFonts w:ascii="Times New Roman" w:hAnsi="Times New Roman" w:cs="Times New Roman"/>
          <w:sz w:val="24"/>
          <w:szCs w:val="24"/>
        </w:rPr>
        <w:t>:</w:t>
      </w:r>
      <w:r>
        <w:rPr>
          <w:rFonts w:ascii="Times New Roman" w:hAnsi="Times New Roman" w:cs="Times New Roman"/>
          <w:sz w:val="24"/>
          <w:szCs w:val="24"/>
        </w:rPr>
        <w:t xml:space="preserve"> termelés-feltárás céljából igénybe vett</w:t>
      </w:r>
    </w:p>
    <w:p w14:paraId="236F9C97" w14:textId="0A01AD69" w:rsidR="00602ECE" w:rsidRDefault="00602ECE" w:rsidP="0060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terület;</w:t>
      </w:r>
    </w:p>
    <w:p w14:paraId="0BD70ECC" w14:textId="77777777" w:rsidR="00602ECE" w:rsidRDefault="00602ECE" w:rsidP="0060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meddőhányó-létesítés céljából igénybe vett terület;</w:t>
      </w:r>
    </w:p>
    <w:p w14:paraId="545F5597" w14:textId="77777777" w:rsidR="00602ECE" w:rsidRDefault="00602ECE" w:rsidP="0060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egyéb célból (létesítmény pl. üzemi épület, út stb. elhelyezése) igénybe vett terület.</w:t>
      </w:r>
    </w:p>
    <w:p w14:paraId="68636582" w14:textId="77777777" w:rsidR="00602ECE" w:rsidRDefault="00602ECE" w:rsidP="00602E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07">
        <w:rPr>
          <w:rFonts w:ascii="Times New Roman" w:hAnsi="Times New Roman" w:cs="Times New Roman"/>
          <w:sz w:val="24"/>
          <w:szCs w:val="24"/>
        </w:rPr>
        <w:t>tárgyévben tájrendezett terület</w:t>
      </w:r>
      <w:r>
        <w:rPr>
          <w:rFonts w:ascii="Times New Roman" w:hAnsi="Times New Roman" w:cs="Times New Roman"/>
          <w:i/>
          <w:sz w:val="24"/>
          <w:szCs w:val="24"/>
        </w:rPr>
        <w:t xml:space="preserve">: </w:t>
      </w:r>
      <w:r>
        <w:rPr>
          <w:rFonts w:ascii="Times New Roman" w:hAnsi="Times New Roman" w:cs="Times New Roman"/>
          <w:sz w:val="24"/>
          <w:szCs w:val="24"/>
        </w:rPr>
        <w:t>A tárgyév folyamán tájrendezett terület nagysága.</w:t>
      </w:r>
    </w:p>
    <w:p w14:paraId="483A1C65" w14:textId="77777777" w:rsidR="00602ECE" w:rsidRDefault="00602ECE" w:rsidP="00602ECE">
      <w:pPr>
        <w:spacing w:after="120" w:line="240" w:lineRule="auto"/>
        <w:jc w:val="both"/>
        <w:rPr>
          <w:rFonts w:ascii="Times New Roman" w:hAnsi="Times New Roman" w:cs="Times New Roman"/>
          <w:sz w:val="24"/>
          <w:szCs w:val="24"/>
        </w:rPr>
      </w:pPr>
      <w:bookmarkStart w:id="0" w:name="_GoBack"/>
      <w:bookmarkEnd w:id="0"/>
      <w:r w:rsidRPr="00E15207">
        <w:rPr>
          <w:rFonts w:ascii="Times New Roman" w:hAnsi="Times New Roman" w:cs="Times New Roman"/>
          <w:sz w:val="24"/>
          <w:szCs w:val="24"/>
        </w:rPr>
        <w:t>A terület kimutatást az éves terület-igénybevételi tervvel és a Műszaki Üzemi Tervvel összhangban kell szerepeltetni.</w:t>
      </w:r>
    </w:p>
    <w:p w14:paraId="7860254E" w14:textId="77777777" w:rsidR="00602ECE" w:rsidRPr="00E15207" w:rsidRDefault="00602ECE" w:rsidP="00602ECE">
      <w:pPr>
        <w:spacing w:after="120" w:line="240" w:lineRule="auto"/>
        <w:jc w:val="both"/>
        <w:rPr>
          <w:rFonts w:ascii="Times New Roman" w:hAnsi="Times New Roman" w:cs="Times New Roman"/>
          <w:i/>
          <w:sz w:val="24"/>
          <w:szCs w:val="24"/>
        </w:rPr>
      </w:pPr>
    </w:p>
    <w:p w14:paraId="118F50B4" w14:textId="77777777" w:rsidR="002E13B1" w:rsidRDefault="002E13B1" w:rsidP="00E914E8">
      <w:pPr>
        <w:jc w:val="center"/>
        <w:rPr>
          <w:rFonts w:ascii="Times New Roman" w:hAnsi="Times New Roman" w:cs="Times New Roman"/>
          <w:i/>
          <w:sz w:val="24"/>
          <w:szCs w:val="24"/>
        </w:rPr>
      </w:pPr>
      <w:r>
        <w:rPr>
          <w:rFonts w:ascii="Times New Roman" w:hAnsi="Times New Roman" w:cs="Times New Roman"/>
          <w:b/>
          <w:sz w:val="24"/>
          <w:szCs w:val="24"/>
        </w:rPr>
        <w:t>A kitermelt illetve nyilvántartott teljes anyagmennyiség</w:t>
      </w:r>
    </w:p>
    <w:p w14:paraId="4217CA47"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Az adott évben a kitermelt nyersanyag mennyisége a bányajáradék bevallással egyezően</w:t>
      </w:r>
      <w:r>
        <w:rPr>
          <w:rFonts w:ascii="Times New Roman" w:hAnsi="Times New Roman" w:cs="Times New Roman"/>
          <w:sz w:val="24"/>
          <w:szCs w:val="24"/>
        </w:rPr>
        <w:t xml:space="preserve">: Itt szerepelnek negyedéves bontásban az ásványi nyersanyagok és geotermikus energia fajlagos értékének, valamint az értékszámításának módjának meghatározásáról szóló 54/2008. (III. </w:t>
      </w:r>
      <w:r>
        <w:rPr>
          <w:rFonts w:ascii="Times New Roman" w:hAnsi="Times New Roman" w:cs="Times New Roman"/>
          <w:sz w:val="24"/>
          <w:szCs w:val="24"/>
        </w:rPr>
        <w:lastRenderedPageBreak/>
        <w:t>20.) Korm. rendelet előírásainak megfelelő bányajáradék bevallásának ásványvagyon mennyiségi adatai.</w:t>
      </w:r>
    </w:p>
    <w:p w14:paraId="25B7EB2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tárgyévi kitermeléssel érintett térrészben lévő nyilvántartott nyersanyag</w:t>
      </w:r>
      <w:r>
        <w:rPr>
          <w:rFonts w:ascii="Times New Roman" w:hAnsi="Times New Roman" w:cs="Times New Roman"/>
          <w:sz w:val="24"/>
          <w:szCs w:val="24"/>
        </w:rPr>
        <w:t xml:space="preserve">: Ebbe a rovatba azon </w:t>
      </w:r>
      <w:r>
        <w:rPr>
          <w:rFonts w:ascii="Times New Roman" w:hAnsi="Times New Roman" w:cs="Times New Roman"/>
          <w:bCs/>
          <w:sz w:val="24"/>
          <w:szCs w:val="24"/>
        </w:rPr>
        <w:t>földtani minősítésű nyersanyag (m</w:t>
      </w:r>
      <w:r>
        <w:rPr>
          <w:rFonts w:ascii="Times New Roman" w:hAnsi="Times New Roman" w:cs="Times New Roman"/>
          <w:bCs/>
          <w:sz w:val="24"/>
          <w:szCs w:val="24"/>
          <w:vertAlign w:val="superscript"/>
        </w:rPr>
        <w:t>3</w:t>
      </w:r>
      <w:r>
        <w:rPr>
          <w:rFonts w:ascii="Times New Roman" w:hAnsi="Times New Roman" w:cs="Times New Roman"/>
          <w:bCs/>
          <w:sz w:val="24"/>
          <w:szCs w:val="24"/>
        </w:rPr>
        <w:t>) mennyiséget (nyersanyaggá minősített anyag) kell beírni, amely a tárgy évben (geodéziai mérésekkel igazoltan)</w:t>
      </w:r>
      <w:r>
        <w:rPr>
          <w:rFonts w:ascii="Times New Roman" w:hAnsi="Times New Roman" w:cs="Times New Roman"/>
          <w:sz w:val="24"/>
          <w:szCs w:val="24"/>
        </w:rPr>
        <w:t xml:space="preserve"> a termelési tevékenységgel érintett térrészben az érvényes készletszámítási alapadatokkal összhangban, a bányaüzem ásványvagyon-nyilvántartásában szerepel.</w:t>
      </w:r>
    </w:p>
    <w:p w14:paraId="1BC5C79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tárgy évben kitermelt, geodéziailag felmért anyag (nyersanyag és meddő) mennyisége:</w:t>
      </w:r>
      <w:r>
        <w:rPr>
          <w:rFonts w:ascii="Times New Roman" w:hAnsi="Times New Roman" w:cs="Times New Roman"/>
          <w:sz w:val="24"/>
          <w:szCs w:val="24"/>
        </w:rPr>
        <w:t xml:space="preserve"> Ezekbe a rovatokba azon anyag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amely az előző év december 31-i állapot és tárgyév december 31-i állapotnak megfelelő bányatérképről kiszámított térfogat különbséget jelenti. Ez a különbség gyakorlatilag a két térképi állapot között (tárgyév) kitermelt teljes anyag mennyiséget jelenti, független a kitermelés céljától és az anyag minőségétől, illetve minősítésétől.</w:t>
      </w:r>
    </w:p>
    <w:p w14:paraId="0D87703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tárgy évben kitermelt meddő mennyisége:</w:t>
      </w:r>
      <w:r>
        <w:rPr>
          <w:rFonts w:ascii="Times New Roman" w:hAnsi="Times New Roman" w:cs="Times New Roman"/>
          <w:sz w:val="24"/>
          <w:szCs w:val="24"/>
        </w:rPr>
        <w:t xml:space="preserve"> Ebbe a rovatba azon </w:t>
      </w:r>
      <w:r>
        <w:rPr>
          <w:rFonts w:ascii="Times New Roman" w:hAnsi="Times New Roman" w:cs="Times New Roman"/>
          <w:bCs/>
          <w:sz w:val="24"/>
          <w:szCs w:val="24"/>
        </w:rPr>
        <w:t>meddő</w:t>
      </w:r>
      <w:r>
        <w:rPr>
          <w:rFonts w:ascii="Times New Roman" w:hAnsi="Times New Roman" w:cs="Times New Roman"/>
          <w:sz w:val="24"/>
          <w:szCs w:val="24"/>
        </w:rPr>
        <w:t xml:space="preserve"> anyag (m</w:t>
      </w:r>
      <w:r>
        <w:rPr>
          <w:rFonts w:ascii="Times New Roman" w:hAnsi="Times New Roman" w:cs="Times New Roman"/>
          <w:sz w:val="24"/>
          <w:szCs w:val="24"/>
          <w:vertAlign w:val="superscript"/>
        </w:rPr>
        <w:t>3</w:t>
      </w:r>
      <w:r>
        <w:rPr>
          <w:rFonts w:ascii="Times New Roman" w:hAnsi="Times New Roman" w:cs="Times New Roman"/>
          <w:sz w:val="24"/>
          <w:szCs w:val="24"/>
        </w:rPr>
        <w:t>) mennyiséget (nyersanyaggá nem minősített anyag) kell beírni, amelyet a tárgy évben a termelési tevékenységhez kapcsolódóan kitermelt.</w:t>
      </w:r>
    </w:p>
    <w:p w14:paraId="1FE968FE" w14:textId="77777777" w:rsidR="002E13B1" w:rsidRDefault="002E13B1" w:rsidP="002E13B1">
      <w:pPr>
        <w:jc w:val="center"/>
        <w:rPr>
          <w:rFonts w:ascii="Times New Roman" w:hAnsi="Times New Roman" w:cs="Times New Roman"/>
          <w:b/>
          <w:bCs/>
          <w:sz w:val="24"/>
          <w:szCs w:val="24"/>
        </w:rPr>
      </w:pPr>
      <w:r>
        <w:rPr>
          <w:rFonts w:ascii="Times New Roman" w:hAnsi="Times New Roman" w:cs="Times New Roman"/>
          <w:b/>
          <w:bCs/>
          <w:sz w:val="24"/>
          <w:szCs w:val="24"/>
        </w:rPr>
        <w:t>Meddő/hulladék anyag mennyiségének változása</w:t>
      </w:r>
    </w:p>
    <w:p w14:paraId="586D9EC8"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 január 01-én meddőhányóban és/vagy zagytározóban deponált anyag mennyisége:</w:t>
      </w:r>
      <w:r>
        <w:rPr>
          <w:rFonts w:ascii="Times New Roman" w:hAnsi="Times New Roman" w:cs="Times New Roman"/>
          <w:sz w:val="24"/>
          <w:szCs w:val="24"/>
        </w:rPr>
        <w:t xml:space="preserve"> Ebbe a rovatba a tárgyévet megelőző évben beküldött adatlap december </w:t>
      </w:r>
      <w:r>
        <w:rPr>
          <w:rFonts w:ascii="Times New Roman" w:hAnsi="Times New Roman" w:cs="Times New Roman"/>
          <w:iCs/>
          <w:sz w:val="24"/>
          <w:szCs w:val="24"/>
        </w:rPr>
        <w:t>31-i</w:t>
      </w:r>
      <w:r>
        <w:rPr>
          <w:rFonts w:ascii="Times New Roman" w:hAnsi="Times New Roman" w:cs="Times New Roman"/>
          <w:i/>
          <w:sz w:val="24"/>
          <w:szCs w:val="24"/>
        </w:rPr>
        <w:t xml:space="preserve"> </w:t>
      </w:r>
      <w:r>
        <w:rPr>
          <w:rFonts w:ascii="Times New Roman" w:hAnsi="Times New Roman" w:cs="Times New Roman"/>
          <w:sz w:val="24"/>
          <w:szCs w:val="24"/>
        </w:rPr>
        <w:t>állapotú sorában közölt meddőhányóban és/vagy zagytározóban deponált anyag</w:t>
      </w:r>
      <w:r>
        <w:rPr>
          <w:rFonts w:ascii="Times New Roman" w:hAnsi="Times New Roman" w:cs="Times New Roman"/>
          <w:i/>
          <w:sz w:val="24"/>
          <w:szCs w:val="24"/>
        </w:rPr>
        <w:t xml:space="preserve"> </w:t>
      </w:r>
      <w:r>
        <w:rPr>
          <w:rFonts w:ascii="Times New Roman" w:hAnsi="Times New Roman" w:cs="Times New Roman"/>
          <w:sz w:val="24"/>
          <w:szCs w:val="24"/>
        </w:rPr>
        <w:t>mennyiségét kell beírni (kiindulásként).</w:t>
      </w:r>
    </w:p>
    <w:p w14:paraId="00713594"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Letermelt humuszos feltalaj:</w:t>
      </w:r>
      <w:r>
        <w:rPr>
          <w:rFonts w:ascii="Times New Roman" w:hAnsi="Times New Roman" w:cs="Times New Roman"/>
          <w:sz w:val="24"/>
          <w:szCs w:val="24"/>
        </w:rPr>
        <w:t xml:space="preserve"> Ezekbe a rovatokba azon humuszos feltalaj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összhangban az előző év december 31-i állapot és tárgyév december 31-i állapotnak megfelelő bányatérképről kiszámított térfogat különbséggel. Az adatokat az alábbi részletezés szerint kell megadni:</w:t>
      </w:r>
    </w:p>
    <w:p w14:paraId="122116D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Összes letermelt humuszos feltalaj.</w:t>
      </w:r>
    </w:p>
    <w:p w14:paraId="1A7689DB" w14:textId="77777777" w:rsidR="002E13B1" w:rsidRDefault="002E13B1" w:rsidP="002E13B1">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Hatósági engedéllyel értékesített</w:t>
      </w:r>
      <w:r>
        <w:rPr>
          <w:rFonts w:ascii="Times New Roman" w:hAnsi="Times New Roman" w:cs="Times New Roman"/>
          <w:sz w:val="24"/>
          <w:szCs w:val="24"/>
        </w:rPr>
        <w:t>, illetve a bányabeli tájrendezésen kívül felhasznált humuszos feltalaj.</w:t>
      </w:r>
    </w:p>
    <w:p w14:paraId="509361AC"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Bányabeli </w:t>
      </w:r>
      <w:r>
        <w:rPr>
          <w:rFonts w:ascii="Times New Roman" w:hAnsi="Times New Roman" w:cs="Times New Roman"/>
          <w:iCs/>
          <w:sz w:val="24"/>
          <w:szCs w:val="24"/>
        </w:rPr>
        <w:t>tájrendezésre felhasznált</w:t>
      </w:r>
      <w:r>
        <w:rPr>
          <w:rFonts w:ascii="Times New Roman" w:hAnsi="Times New Roman" w:cs="Times New Roman"/>
          <w:sz w:val="24"/>
          <w:szCs w:val="24"/>
        </w:rPr>
        <w:t xml:space="preserve"> humuszos feltalaj.</w:t>
      </w:r>
    </w:p>
    <w:p w14:paraId="4116F424"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sz w:val="24"/>
          <w:szCs w:val="24"/>
        </w:rPr>
        <w:t>- Külön meddőhányóra (korábbi években, illetve tárgyévben) deponált humuszos feltalaj.</w:t>
      </w:r>
    </w:p>
    <w:p w14:paraId="28A0D369" w14:textId="77777777" w:rsidR="002E13B1" w:rsidRDefault="002E13B1" w:rsidP="002E13B1">
      <w:pPr>
        <w:autoSpaceDE w:val="0"/>
        <w:autoSpaceDN w:val="0"/>
        <w:adjustRightInd w:val="0"/>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A talajgazdálkodást, így a bányászati tevékenység során történő talajgazdálkodást is, </w:t>
      </w:r>
      <w:r>
        <w:rPr>
          <w:rFonts w:ascii="Times New Roman" w:eastAsia="Calibri" w:hAnsi="Times New Roman" w:cs="Times New Roman"/>
          <w:bCs/>
          <w:sz w:val="24"/>
          <w:szCs w:val="24"/>
        </w:rPr>
        <w:t>a termőföld védelméről szóló 2007. évi CXXIX. törvény, valamint a talajvédelmi terv készítésének részletes szabályairól</w:t>
      </w:r>
      <w:r>
        <w:rPr>
          <w:rFonts w:ascii="Times New Roman" w:hAnsi="Times New Roman" w:cs="Times New Roman"/>
          <w:bCs/>
          <w:sz w:val="24"/>
          <w:szCs w:val="24"/>
        </w:rPr>
        <w:t xml:space="preserve"> szóló </w:t>
      </w:r>
      <w:r>
        <w:rPr>
          <w:rFonts w:ascii="Times New Roman" w:eastAsia="Calibri" w:hAnsi="Times New Roman" w:cs="Times New Roman"/>
          <w:bCs/>
          <w:sz w:val="24"/>
          <w:szCs w:val="24"/>
        </w:rPr>
        <w:t>90/2008. (VII. 18.) FVM rendelet szabályozza.</w:t>
      </w:r>
    </w:p>
    <w:p w14:paraId="3CDB1DD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Tárgyévben keletkezett meddő, illetve bányászati hulladék mennyisége és kódja</w:t>
      </w:r>
      <w:r>
        <w:rPr>
          <w:rFonts w:ascii="Times New Roman" w:hAnsi="Times New Roman" w:cs="Times New Roman"/>
          <w:sz w:val="24"/>
          <w:szCs w:val="24"/>
        </w:rPr>
        <w:t xml:space="preserve">: Ezekben a rovatokban a </w:t>
      </w:r>
      <w:r>
        <w:rPr>
          <w:rFonts w:ascii="Times New Roman" w:hAnsi="Times New Roman" w:cs="Times New Roman"/>
          <w:bCs/>
          <w:iCs/>
          <w:sz w:val="24"/>
          <w:szCs w:val="24"/>
        </w:rPr>
        <w:t>geodéziai felméréssel összhangban</w:t>
      </w:r>
      <w:r>
        <w:rPr>
          <w:rFonts w:ascii="Times New Roman" w:hAnsi="Times New Roman" w:cs="Times New Roman"/>
          <w:sz w:val="24"/>
          <w:szCs w:val="24"/>
        </w:rPr>
        <w:t xml:space="preserve"> a tárgyévben kitermelt meddő mennyiséget kell szerepeltetni az alábbiak szerint. E rovatokban kell feltüntetni azon hatósági engedéllyel nyersanyagból meddővé átminősített nyersanyagot, amelyet kitermelt és a bánya területén felhasznált, illetve meddőhányóra (zagytározóba) helyezett. Ugyancsak itt kell szerepeltetni a meddőhányóra (zagytározóba) vagy a bánya területén felhasznált technológiai meddőt, köztes meddőt, valamint a túlfejtésből származó meddőt is. Az itt szerepeltetett mennyiségeknek összhangban kell lenniük a bányaművelési térképen kimutatott és az 1/a táblázaton átminősítési, illetve kutatási rovatokon átsorolt mennyiségekkel:</w:t>
      </w:r>
    </w:p>
    <w:p w14:paraId="3D139705" w14:textId="77777777" w:rsidR="002E13B1" w:rsidRDefault="002E13B1" w:rsidP="002E13B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Visszatömedékelésre, illetve tájrendezésre felhasznált összes meddő mennyiség.</w:t>
      </w:r>
    </w:p>
    <w:p w14:paraId="33956838" w14:textId="77777777" w:rsidR="002E13B1" w:rsidRDefault="002E13B1" w:rsidP="002E13B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Inert meddő/hulladék. (Az inert bányászati hulladékot az alapfogalmaknál definiáltuk.)</w:t>
      </w:r>
    </w:p>
    <w:p w14:paraId="05CBF82D" w14:textId="77777777" w:rsidR="002E13B1" w:rsidRDefault="002E13B1" w:rsidP="002E13B1">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Nem inert, nem veszélyes meddő/hulladék. (A nem inert, nem veszélyes bányászati hulladékot az alapfogalmaknál definiáltuk.)</w:t>
      </w:r>
    </w:p>
    <w:p w14:paraId="7CFC82ED"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Veszélyes hulladék. (A veszélyes bányászati hulladék az alapfogalmaknál definiálva.)</w:t>
      </w:r>
    </w:p>
    <w:p w14:paraId="7E37C138" w14:textId="77777777" w:rsidR="002E13B1" w:rsidRDefault="002E13B1" w:rsidP="002E13B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Minden esetben szükséges megadni – a bányajáradék bevallással összhangban – az adott fentebb definiált meddő kategóriánként a hatósági engedéllyel üzletszerűen hasznosított, illetve értékesített, valamint a meddőhányón vagy zagytározóban elhelyezett és ott ártalmatlanított meddő/hulladék anyagot. </w:t>
      </w:r>
    </w:p>
    <w:p w14:paraId="3BFC7CC0" w14:textId="77777777" w:rsidR="002E13B1" w:rsidRDefault="002E13B1" w:rsidP="002E13B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E kategóriánként szükséges megadni a meddő/hulladék kódját az alábbiak szerint:</w:t>
      </w:r>
    </w:p>
    <w:p w14:paraId="604AB1E2" w14:textId="77777777" w:rsidR="002E13B1" w:rsidRDefault="002E13B1" w:rsidP="002E13B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Kód 1: a 72/2013. (VIII. 27.) VM rendelet szerinti európai hulladék katalógus kódja</w:t>
      </w:r>
    </w:p>
    <w:p w14:paraId="2C9706AA" w14:textId="77777777" w:rsidR="002E13B1" w:rsidRDefault="002E13B1" w:rsidP="002E13B1">
      <w:pPr>
        <w:spacing w:before="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Kód 2: a 43/2016. (VI. 28.) FM rendelet a hulladékgazdálkodással kapcsolatos ártalmatlanítási és hasznosítási műveletek felsorolásáról</w:t>
      </w:r>
    </w:p>
    <w:p w14:paraId="38E7804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Tárgyévet követő január 01-én meddőhányóban és/vagy zagytározóban deponált anyag mennyisége:</w:t>
      </w:r>
      <w:r>
        <w:rPr>
          <w:rFonts w:ascii="Times New Roman" w:hAnsi="Times New Roman" w:cs="Times New Roman"/>
          <w:sz w:val="24"/>
          <w:szCs w:val="24"/>
        </w:rPr>
        <w:t xml:space="preserve"> Ebben a rovatban mérlegszerűen vezesse le a meddőhányókon és zagytározókban deponált meddő </w:t>
      </w:r>
      <w:r>
        <w:rPr>
          <w:rFonts w:ascii="Times New Roman" w:hAnsi="Times New Roman" w:cs="Times New Roman"/>
          <w:bCs/>
          <w:sz w:val="24"/>
          <w:szCs w:val="24"/>
        </w:rPr>
        <w:t>záró</w:t>
      </w:r>
      <w:r>
        <w:rPr>
          <w:rFonts w:ascii="Times New Roman" w:hAnsi="Times New Roman" w:cs="Times New Roman"/>
          <w:b/>
          <w:sz w:val="24"/>
          <w:szCs w:val="24"/>
        </w:rPr>
        <w:t xml:space="preserve"> </w:t>
      </w:r>
      <w:r>
        <w:rPr>
          <w:rFonts w:ascii="Times New Roman" w:hAnsi="Times New Roman" w:cs="Times New Roman"/>
          <w:bCs/>
          <w:sz w:val="24"/>
          <w:szCs w:val="24"/>
        </w:rPr>
        <w:t xml:space="preserve">mennyiséget </w:t>
      </w:r>
      <w:r>
        <w:rPr>
          <w:rFonts w:ascii="Times New Roman" w:hAnsi="Times New Roman" w:cs="Times New Roman"/>
          <w:sz w:val="24"/>
          <w:szCs w:val="24"/>
        </w:rPr>
        <w:t>az induló mennyiség és az évközben bekövetkezett – az előző rovatokon levezetett – változások figyelembevételével. Az itt szerepeltetett mennyiségnek összhangban kell lennie a bányaművelési térképen kimutatott és az 1/a táblázaton rögzített mennyiséggel.</w:t>
      </w:r>
    </w:p>
    <w:p w14:paraId="242FDE95" w14:textId="3C4FE129"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r w:rsidR="002521F3" w:rsidRPr="002521F3">
        <w:rPr>
          <w:rFonts w:ascii="Times New Roman" w:hAnsi="Times New Roman" w:cs="Times New Roman"/>
          <w:i/>
          <w:sz w:val="24"/>
          <w:szCs w:val="24"/>
        </w:rPr>
        <w:t xml:space="preserve">13/2022. (I. 28.) SZTFH rendelet </w:t>
      </w:r>
      <w:r>
        <w:rPr>
          <w:rFonts w:ascii="Times New Roman" w:hAnsi="Times New Roman" w:cs="Times New Roman"/>
          <w:i/>
          <w:sz w:val="24"/>
          <w:szCs w:val="24"/>
        </w:rPr>
        <w:t xml:space="preserve">2.§ </w:t>
      </w:r>
      <w:r w:rsidR="002521F3">
        <w:rPr>
          <w:rFonts w:ascii="Times New Roman" w:hAnsi="Times New Roman" w:cs="Times New Roman"/>
          <w:i/>
          <w:sz w:val="24"/>
          <w:szCs w:val="24"/>
        </w:rPr>
        <w:t>7</w:t>
      </w:r>
      <w:r>
        <w:rPr>
          <w:rFonts w:ascii="Times New Roman" w:hAnsi="Times New Roman" w:cs="Times New Roman"/>
          <w:i/>
          <w:sz w:val="24"/>
          <w:szCs w:val="24"/>
        </w:rPr>
        <w:t>. szerinti hulladékkezelő létesítményt üzemeltet, illetve nem üzemeltet</w:t>
      </w:r>
      <w:r>
        <w:rPr>
          <w:rFonts w:ascii="Times New Roman" w:hAnsi="Times New Roman" w:cs="Times New Roman"/>
          <w:sz w:val="24"/>
          <w:szCs w:val="24"/>
        </w:rPr>
        <w:t xml:space="preserve">: Ezen a helyen jelölje, hogy a fenti jogszabály szerinti hulladékkezelőt üzemeltet-e vagy nem. Ha igen, jelölje, hogy az üzemeltetett hulladékkezelő „A” vagy nem „A” kategóriájú. </w:t>
      </w:r>
    </w:p>
    <w:p w14:paraId="5B7AD0F8" w14:textId="77777777" w:rsidR="002E13B1" w:rsidRDefault="002E13B1" w:rsidP="002E13B1">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Megjegyzés: </w:t>
      </w:r>
      <w:r>
        <w:rPr>
          <w:rFonts w:ascii="Times New Roman" w:hAnsi="Times New Roman" w:cs="Times New Roman"/>
          <w:sz w:val="24"/>
          <w:szCs w:val="24"/>
        </w:rPr>
        <w:t>E helyen adja meg a fentiekben kért hatósági engedélyekre való hivatkozást, valamint jelezzen minden olyan információt, amelyet az adatszolgáltatás kapcsán fontosnak tart. Amennyiben itt nincs annyi hely, hogy megjegyzéseit leírja, kérjük külön csatolt lapon tegye azt meg. Kérjük, hogy ez esetben a megjegyzés rovatban jelezze ennek tényét.</w:t>
      </w:r>
    </w:p>
    <w:p w14:paraId="162A80F2" w14:textId="11AFA7F1" w:rsidR="00900830" w:rsidRDefault="002E13B1" w:rsidP="002E13B1">
      <w:r>
        <w:rPr>
          <w:rFonts w:ascii="Times New Roman" w:hAnsi="Times New Roman" w:cs="Times New Roman"/>
          <w:i/>
          <w:iCs/>
          <w:sz w:val="24"/>
          <w:szCs w:val="24"/>
        </w:rPr>
        <w:t xml:space="preserve">Földtani szakértő ellenjegyzése: </w:t>
      </w:r>
      <w:r>
        <w:rPr>
          <w:rFonts w:ascii="Times New Roman" w:hAnsi="Times New Roman" w:cs="Times New Roman"/>
          <w:sz w:val="24"/>
          <w:szCs w:val="24"/>
        </w:rPr>
        <w:t xml:space="preserve">A Bt. végrehajtásáról szóló 203/1998. (XII. 19.) Korm. rendelet </w:t>
      </w:r>
      <w:r>
        <w:rPr>
          <w:rFonts w:ascii="Times New Roman" w:hAnsi="Times New Roman" w:cs="Times New Roman"/>
          <w:bCs/>
          <w:sz w:val="24"/>
          <w:szCs w:val="24"/>
        </w:rPr>
        <w:t xml:space="preserve">9. §. alapján </w:t>
      </w:r>
      <w:r>
        <w:rPr>
          <w:rFonts w:ascii="Times New Roman" w:hAnsi="Times New Roman" w:cs="Times New Roman"/>
          <w:sz w:val="24"/>
          <w:szCs w:val="24"/>
        </w:rPr>
        <w:t>a bejelentést földtani szakértővel kell ellenjegyeztetni.</w:t>
      </w:r>
    </w:p>
    <w:sectPr w:rsidR="009008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BF8B" w14:textId="77777777" w:rsidR="002521F3" w:rsidRDefault="002521F3" w:rsidP="002521F3">
      <w:pPr>
        <w:spacing w:after="0" w:line="240" w:lineRule="auto"/>
      </w:pPr>
      <w:r>
        <w:separator/>
      </w:r>
    </w:p>
  </w:endnote>
  <w:endnote w:type="continuationSeparator" w:id="0">
    <w:p w14:paraId="550ECACC" w14:textId="77777777" w:rsidR="002521F3" w:rsidRDefault="002521F3" w:rsidP="0025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88948"/>
      <w:docPartObj>
        <w:docPartGallery w:val="Page Numbers (Bottom of Page)"/>
        <w:docPartUnique/>
      </w:docPartObj>
    </w:sdtPr>
    <w:sdtEndPr/>
    <w:sdtContent>
      <w:p w14:paraId="0286F1DF" w14:textId="3CB37D6A" w:rsidR="002521F3" w:rsidRDefault="002521F3">
        <w:pPr>
          <w:pStyle w:val="llb"/>
          <w:jc w:val="right"/>
        </w:pPr>
        <w:r>
          <w:fldChar w:fldCharType="begin"/>
        </w:r>
        <w:r>
          <w:instrText>PAGE   \* MERGEFORMAT</w:instrText>
        </w:r>
        <w:r>
          <w:fldChar w:fldCharType="separate"/>
        </w:r>
        <w:r w:rsidR="00602ECE">
          <w:rPr>
            <w:noProof/>
          </w:rPr>
          <w:t>2</w:t>
        </w:r>
        <w:r>
          <w:fldChar w:fldCharType="end"/>
        </w:r>
      </w:p>
    </w:sdtContent>
  </w:sdt>
  <w:p w14:paraId="1DC7574B" w14:textId="77777777" w:rsidR="002521F3" w:rsidRDefault="002521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95F0" w14:textId="77777777" w:rsidR="002521F3" w:rsidRDefault="002521F3" w:rsidP="002521F3">
      <w:pPr>
        <w:spacing w:after="0" w:line="240" w:lineRule="auto"/>
      </w:pPr>
      <w:r>
        <w:separator/>
      </w:r>
    </w:p>
  </w:footnote>
  <w:footnote w:type="continuationSeparator" w:id="0">
    <w:p w14:paraId="4ADB5670" w14:textId="77777777" w:rsidR="002521F3" w:rsidRDefault="002521F3" w:rsidP="00252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71F"/>
    <w:multiLevelType w:val="hybridMultilevel"/>
    <w:tmpl w:val="9CF6173E"/>
    <w:lvl w:ilvl="0" w:tplc="F57679B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B1"/>
    <w:rsid w:val="00130017"/>
    <w:rsid w:val="001B01DD"/>
    <w:rsid w:val="002521F3"/>
    <w:rsid w:val="002E13B1"/>
    <w:rsid w:val="00602ECE"/>
    <w:rsid w:val="007E426B"/>
    <w:rsid w:val="00E914E8"/>
    <w:rsid w:val="00F36E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13B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E13B1"/>
    <w:pPr>
      <w:ind w:left="720"/>
      <w:contextualSpacing/>
    </w:pPr>
  </w:style>
  <w:style w:type="paragraph" w:styleId="lfej">
    <w:name w:val="header"/>
    <w:basedOn w:val="Norml"/>
    <w:link w:val="lfejChar"/>
    <w:uiPriority w:val="99"/>
    <w:unhideWhenUsed/>
    <w:rsid w:val="002521F3"/>
    <w:pPr>
      <w:tabs>
        <w:tab w:val="center" w:pos="4536"/>
        <w:tab w:val="right" w:pos="9072"/>
      </w:tabs>
      <w:spacing w:after="0" w:line="240" w:lineRule="auto"/>
    </w:pPr>
  </w:style>
  <w:style w:type="character" w:customStyle="1" w:styleId="lfejChar">
    <w:name w:val="Élőfej Char"/>
    <w:basedOn w:val="Bekezdsalapbettpusa"/>
    <w:link w:val="lfej"/>
    <w:uiPriority w:val="99"/>
    <w:rsid w:val="002521F3"/>
  </w:style>
  <w:style w:type="paragraph" w:styleId="llb">
    <w:name w:val="footer"/>
    <w:basedOn w:val="Norml"/>
    <w:link w:val="llbChar"/>
    <w:uiPriority w:val="99"/>
    <w:unhideWhenUsed/>
    <w:rsid w:val="002521F3"/>
    <w:pPr>
      <w:tabs>
        <w:tab w:val="center" w:pos="4536"/>
        <w:tab w:val="right" w:pos="9072"/>
      </w:tabs>
      <w:spacing w:after="0" w:line="240" w:lineRule="auto"/>
    </w:pPr>
  </w:style>
  <w:style w:type="character" w:customStyle="1" w:styleId="llbChar">
    <w:name w:val="Élőláb Char"/>
    <w:basedOn w:val="Bekezdsalapbettpusa"/>
    <w:link w:val="llb"/>
    <w:uiPriority w:val="99"/>
    <w:rsid w:val="00252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13B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E13B1"/>
    <w:pPr>
      <w:ind w:left="720"/>
      <w:contextualSpacing/>
    </w:pPr>
  </w:style>
  <w:style w:type="paragraph" w:styleId="lfej">
    <w:name w:val="header"/>
    <w:basedOn w:val="Norml"/>
    <w:link w:val="lfejChar"/>
    <w:uiPriority w:val="99"/>
    <w:unhideWhenUsed/>
    <w:rsid w:val="002521F3"/>
    <w:pPr>
      <w:tabs>
        <w:tab w:val="center" w:pos="4536"/>
        <w:tab w:val="right" w:pos="9072"/>
      </w:tabs>
      <w:spacing w:after="0" w:line="240" w:lineRule="auto"/>
    </w:pPr>
  </w:style>
  <w:style w:type="character" w:customStyle="1" w:styleId="lfejChar">
    <w:name w:val="Élőfej Char"/>
    <w:basedOn w:val="Bekezdsalapbettpusa"/>
    <w:link w:val="lfej"/>
    <w:uiPriority w:val="99"/>
    <w:rsid w:val="002521F3"/>
  </w:style>
  <w:style w:type="paragraph" w:styleId="llb">
    <w:name w:val="footer"/>
    <w:basedOn w:val="Norml"/>
    <w:link w:val="llbChar"/>
    <w:uiPriority w:val="99"/>
    <w:unhideWhenUsed/>
    <w:rsid w:val="002521F3"/>
    <w:pPr>
      <w:tabs>
        <w:tab w:val="center" w:pos="4536"/>
        <w:tab w:val="right" w:pos="9072"/>
      </w:tabs>
      <w:spacing w:after="0" w:line="240" w:lineRule="auto"/>
    </w:pPr>
  </w:style>
  <w:style w:type="character" w:customStyle="1" w:styleId="llbChar">
    <w:name w:val="Élőláb Char"/>
    <w:basedOn w:val="Bekezdsalapbettpusa"/>
    <w:link w:val="llb"/>
    <w:uiPriority w:val="99"/>
    <w:rsid w:val="0025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9660</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MFGI</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Szepessy Gábor</dc:creator>
  <cp:lastModifiedBy>Horvath Zoltan</cp:lastModifiedBy>
  <cp:revision>2</cp:revision>
  <dcterms:created xsi:type="dcterms:W3CDTF">2023-02-13T15:26:00Z</dcterms:created>
  <dcterms:modified xsi:type="dcterms:W3CDTF">2023-02-13T15:26:00Z</dcterms:modified>
</cp:coreProperties>
</file>