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i/>
          <w:iCs/>
          <w:sz w:val="18"/>
          <w:szCs w:val="18"/>
          <w:u w:val="single"/>
          <w:lang w:eastAsia="hu-HU"/>
        </w:rPr>
        <w:t xml:space="preserve">2. melléklet a 44/2015. (XI. 2.) </w:t>
      </w:r>
      <w:proofErr w:type="spellStart"/>
      <w:r w:rsidRPr="00D07AEC">
        <w:rPr>
          <w:rFonts w:eastAsia="Times New Roman"/>
          <w:i/>
          <w:iCs/>
          <w:sz w:val="18"/>
          <w:szCs w:val="18"/>
          <w:u w:val="single"/>
          <w:lang w:eastAsia="hu-HU"/>
        </w:rPr>
        <w:t>MvM</w:t>
      </w:r>
      <w:proofErr w:type="spellEnd"/>
      <w:r w:rsidRPr="00D07AEC">
        <w:rPr>
          <w:rFonts w:eastAsia="Times New Roman"/>
          <w:i/>
          <w:iCs/>
          <w:sz w:val="18"/>
          <w:szCs w:val="18"/>
          <w:u w:val="single"/>
          <w:lang w:eastAsia="hu-HU"/>
        </w:rPr>
        <w:t xml:space="preserve"> rendelethez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lang w:eastAsia="hu-HU"/>
        </w:rPr>
        <w:t>KÖZBESZERZÉSI ÉRTESÍTŐ</w:t>
      </w:r>
    </w:p>
    <w:p w:rsidR="00F31610" w:rsidRPr="00D07AEC" w:rsidRDefault="00F31610" w:rsidP="0042537D">
      <w:pPr>
        <w:spacing w:before="120" w:after="120"/>
        <w:ind w:hanging="20"/>
        <w:jc w:val="left"/>
        <w:rPr>
          <w:rFonts w:eastAsia="Times New Roman"/>
          <w:sz w:val="18"/>
          <w:szCs w:val="18"/>
          <w:lang w:eastAsia="hu-HU"/>
        </w:rPr>
      </w:pPr>
      <w:proofErr w:type="gramStart"/>
      <w:r w:rsidRPr="00D07AEC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D07AEC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D07AEC" w:rsidRDefault="00F31610" w:rsidP="0042537D">
      <w:pPr>
        <w:spacing w:before="120" w:after="120"/>
        <w:jc w:val="righ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Ajánlati/részvételi felhívás</w:t>
      </w:r>
    </w:p>
    <w:p w:rsidR="00F31610" w:rsidRPr="00D07AEC" w:rsidRDefault="00F31610" w:rsidP="0042537D">
      <w:pPr>
        <w:spacing w:before="120" w:after="120"/>
        <w:jc w:val="righ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i/>
          <w:iCs/>
          <w:sz w:val="18"/>
          <w:szCs w:val="18"/>
          <w:lang w:eastAsia="hu-HU"/>
        </w:rPr>
        <w:t>A Kbt. 112. § (1) bekezdés b) pont szerinti eljárások esetében.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I. szakasz: Ajánlatkérő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I.1) Név és címek </w:t>
      </w:r>
      <w:r w:rsidRPr="00D07AEC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D07AEC">
        <w:rPr>
          <w:rFonts w:eastAsia="Times New Roman"/>
          <w:sz w:val="18"/>
          <w:szCs w:val="18"/>
          <w:lang w:eastAsia="hu-HU"/>
        </w:rPr>
        <w:t xml:space="preserve"> 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165"/>
        <w:gridCol w:w="2485"/>
      </w:tblGrid>
      <w:tr w:rsidR="00F31610" w:rsidRPr="00D07AEC" w:rsidTr="00F31610">
        <w:tc>
          <w:tcPr>
            <w:tcW w:w="7310" w:type="dxa"/>
            <w:gridSpan w:val="3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Hivatalos név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:</w:t>
            </w:r>
            <w:proofErr w:type="gramEnd"/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Magyar Bányászati és Földtani Hivatal</w:t>
            </w:r>
          </w:p>
        </w:tc>
        <w:tc>
          <w:tcPr>
            <w:tcW w:w="248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D07AEC" w:rsidTr="00F31610">
        <w:tc>
          <w:tcPr>
            <w:tcW w:w="0" w:type="auto"/>
            <w:gridSpan w:val="4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>Columbus</w:t>
            </w:r>
            <w:proofErr w:type="spellEnd"/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u. 17-23.</w:t>
            </w:r>
          </w:p>
        </w:tc>
      </w:tr>
      <w:tr w:rsidR="00F31610" w:rsidRPr="00D07AEC" w:rsidTr="00F31610">
        <w:tc>
          <w:tcPr>
            <w:tcW w:w="291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230" w:type="dxa"/>
            <w:hideMark/>
          </w:tcPr>
          <w:p w:rsidR="00F31610" w:rsidRPr="00D07AEC" w:rsidRDefault="00F31610" w:rsidP="00DA1113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H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>U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>101</w:t>
            </w:r>
          </w:p>
        </w:tc>
        <w:tc>
          <w:tcPr>
            <w:tcW w:w="216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1145</w:t>
            </w:r>
          </w:p>
        </w:tc>
        <w:tc>
          <w:tcPr>
            <w:tcW w:w="248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  <w:tr w:rsidR="0034183B" w:rsidRPr="00D07AEC" w:rsidTr="008C737A">
        <w:tc>
          <w:tcPr>
            <w:tcW w:w="7310" w:type="dxa"/>
            <w:gridSpan w:val="3"/>
            <w:vAlign w:val="center"/>
            <w:hideMark/>
          </w:tcPr>
          <w:p w:rsidR="0034183B" w:rsidRPr="00D07AEC" w:rsidRDefault="0034183B" w:rsidP="00376CAA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Kapcsolattartó személy: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Lukucza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György</w:t>
            </w:r>
          </w:p>
        </w:tc>
        <w:tc>
          <w:tcPr>
            <w:tcW w:w="2485" w:type="dxa"/>
            <w:vAlign w:val="center"/>
            <w:hideMark/>
          </w:tcPr>
          <w:p w:rsidR="0034183B" w:rsidRPr="00D07AEC" w:rsidRDefault="0034183B" w:rsidP="00376CAA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Telefon: </w:t>
            </w:r>
            <w:r w:rsidRPr="00D07AEC">
              <w:rPr>
                <w:sz w:val="18"/>
                <w:szCs w:val="18"/>
              </w:rPr>
              <w:t>06 20 7725992</w:t>
            </w:r>
          </w:p>
        </w:tc>
      </w:tr>
      <w:tr w:rsidR="0034183B" w:rsidRPr="00D07AEC" w:rsidTr="008C737A">
        <w:tc>
          <w:tcPr>
            <w:tcW w:w="7310" w:type="dxa"/>
            <w:gridSpan w:val="3"/>
            <w:vAlign w:val="center"/>
            <w:hideMark/>
          </w:tcPr>
          <w:p w:rsidR="0034183B" w:rsidRPr="00D07AEC" w:rsidRDefault="0034183B" w:rsidP="00376CAA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  <w:r w:rsidRPr="00D07AEC">
              <w:rPr>
                <w:sz w:val="18"/>
                <w:szCs w:val="18"/>
              </w:rPr>
              <w:t xml:space="preserve"> gyorgy_lukucza@mbfh.hu</w:t>
            </w:r>
          </w:p>
        </w:tc>
        <w:tc>
          <w:tcPr>
            <w:tcW w:w="2485" w:type="dxa"/>
            <w:vAlign w:val="center"/>
            <w:hideMark/>
          </w:tcPr>
          <w:p w:rsidR="0034183B" w:rsidRPr="00D07AEC" w:rsidRDefault="0034183B" w:rsidP="00376C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  <w:r w:rsidRPr="00D07AEC">
              <w:rPr>
                <w:sz w:val="18"/>
                <w:szCs w:val="18"/>
              </w:rPr>
              <w:t xml:space="preserve"> 06 1 3012903</w:t>
            </w:r>
          </w:p>
          <w:p w:rsidR="0034183B" w:rsidRPr="00D07AEC" w:rsidRDefault="0034183B" w:rsidP="00376CAA">
            <w:pPr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34183B" w:rsidRPr="00D07AEC" w:rsidTr="00F31610">
        <w:tc>
          <w:tcPr>
            <w:tcW w:w="0" w:type="auto"/>
            <w:gridSpan w:val="4"/>
            <w:hideMark/>
          </w:tcPr>
          <w:p w:rsidR="0034183B" w:rsidRPr="00D07AEC" w:rsidRDefault="0034183B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34183B" w:rsidRPr="00D07AEC" w:rsidRDefault="0034183B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 www.mbfh.hu</w:t>
            </w:r>
          </w:p>
          <w:p w:rsidR="0034183B" w:rsidRPr="00D07AEC" w:rsidRDefault="0034183B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szerződés közös közbeszerzés formájában valósul meg.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Meghatalmazott ajánlatkérő nélkül.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Az I.1) pontban feltüntetett ajánlatkérők közül meghatalmazott ajánlatkérő: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D07AEC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Ajánlatkérőnek minősülő meghatalmazott szervezet, mely az I.1) pontban nem került feltüntetésre: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Több ország részvételével megvalósuló közös közbeszerzés.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szerződést központi beszerző szerv ítéli oda.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34183B" w:rsidP="0042537D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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="00F31610"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34183B" w:rsidRPr="00D07AEC" w:rsidRDefault="005B6C32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hyperlink r:id="rId4" w:history="1">
              <w:r w:rsidR="0034183B" w:rsidRPr="00D07AEC">
                <w:rPr>
                  <w:rStyle w:val="Hiperhivatkozs"/>
                  <w:color w:val="auto"/>
                  <w:sz w:val="18"/>
                  <w:szCs w:val="18"/>
                </w:rPr>
                <w:t>http://www.mbfh.hu/home/html/index.asp?msid=1&amp;sid=0&amp;hkl=273&amp;lng=</w:t>
              </w:r>
              <w:proofErr w:type="gramStart"/>
              <w:r w:rsidR="0034183B" w:rsidRPr="00D07AEC">
                <w:rPr>
                  <w:rStyle w:val="Hiperhivatkozs"/>
                  <w:color w:val="auto"/>
                  <w:sz w:val="18"/>
                  <w:szCs w:val="18"/>
                </w:rPr>
                <w:t>1</w:t>
              </w:r>
            </w:hyperlink>
            <w:r w:rsidR="0034183B" w:rsidRPr="00D07AEC">
              <w:rPr>
                <w:sz w:val="18"/>
                <w:szCs w:val="18"/>
              </w:rPr>
              <w:t xml:space="preserve"> </w:t>
            </w:r>
            <w:r w:rsidR="0034183B"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proofErr w:type="gramEnd"/>
            <w:r w:rsidR="0034183B"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URL) Villamos energia beszerzése 2017 </w:t>
            </w:r>
            <w:r w:rsidR="0034183B" w:rsidRPr="00D07AEC">
              <w:rPr>
                <w:rFonts w:eastAsia="Times New Roman"/>
                <w:iCs/>
                <w:sz w:val="18"/>
                <w:szCs w:val="18"/>
                <w:lang w:eastAsia="hu-HU"/>
              </w:rPr>
              <w:t>cím alatt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A közbeszerzési dokumentumokhoz történő hozzáférés korlátozott. További információ a következő helyről érhető el: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D07AEC" w:rsidRDefault="00AA443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másik cím: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elektronikus úton: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D07AEC" w:rsidRDefault="00AA443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>a fent említett címre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a következő címre: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D07AEC" w:rsidTr="00F31610">
        <w:tc>
          <w:tcPr>
            <w:tcW w:w="5042" w:type="dxa"/>
            <w:hideMark/>
          </w:tcPr>
          <w:p w:rsidR="00F31610" w:rsidRPr="00D07AEC" w:rsidRDefault="00AA443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 Regionális/helyi szintű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Közjogi szervezet</w:t>
            </w:r>
          </w:p>
        </w:tc>
        <w:tc>
          <w:tcPr>
            <w:tcW w:w="4753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 Közszolgáltató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 Támogatott szervezet [Kbt. 5. § (2)-(3) bekezdés]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Egyéb: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lastRenderedPageBreak/>
        <w:t xml:space="preserve">I.5) Fő tevékenység 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D07AEC" w:rsidTr="00F31610">
        <w:tc>
          <w:tcPr>
            <w:tcW w:w="5042" w:type="dxa"/>
            <w:hideMark/>
          </w:tcPr>
          <w:p w:rsidR="00F31610" w:rsidRPr="00D07AEC" w:rsidRDefault="00AA443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Honvédelem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Közrend és biztonság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Környezetvédelem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Gazdasági és pénzügyek</w:t>
            </w:r>
          </w:p>
          <w:p w:rsidR="00F31610" w:rsidRPr="00D07AEC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Egészségügy</w:t>
            </w:r>
          </w:p>
        </w:tc>
        <w:tc>
          <w:tcPr>
            <w:tcW w:w="4753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Lakásszolgáltatás és közösségi rekreáció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Szociális védelem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Szabadidő, kultúra és vallás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Oktatás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Egyéb tevékenység: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I.6) Fő tevékenység 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D07AEC" w:rsidTr="00F31610">
        <w:tc>
          <w:tcPr>
            <w:tcW w:w="5042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Gáz- és hőenergia termelése, szállítása és elosztása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Villamos energia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Földgáz és kőolaj kitermelése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Szén és más szilárd tüzelőanyag feltárása és kitermelése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Víz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Postai szolgáltatások</w:t>
            </w:r>
          </w:p>
        </w:tc>
        <w:tc>
          <w:tcPr>
            <w:tcW w:w="4753" w:type="dxa"/>
            <w:hideMark/>
          </w:tcPr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Vasúti szolgáltatások</w:t>
            </w:r>
          </w:p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Városi vasúti, villamos-, trolibusz- és autóbusz-szolgáltatások</w:t>
            </w:r>
          </w:p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Kikötői tevékenységek</w:t>
            </w:r>
          </w:p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Repülőtéri tevékenységek</w:t>
            </w:r>
          </w:p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Egyéb tevékenység: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II. szakasz: Tárgy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2745"/>
      </w:tblGrid>
      <w:tr w:rsidR="00F31610" w:rsidRPr="00D07AEC" w:rsidTr="00F31610">
        <w:tc>
          <w:tcPr>
            <w:tcW w:w="7310" w:type="dxa"/>
            <w:hideMark/>
          </w:tcPr>
          <w:p w:rsidR="00F31610" w:rsidRPr="00D07AEC" w:rsidRDefault="00F31610" w:rsidP="0034183B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  <w:r w:rsidR="0034183B" w:rsidRPr="00D07AEC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Villamos energia beszerzése</w:t>
            </w:r>
          </w:p>
        </w:tc>
        <w:tc>
          <w:tcPr>
            <w:tcW w:w="248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4183B"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09310000-5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AA443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Építési beruházás </w:t>
            </w:r>
            <w:r w:rsidR="00AA4437"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Árubeszerzés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AA443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  <w:r w:rsidR="0034183B"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Adásvételi szerződés villamos energia szállítására Magyar Bányászati és Földtani Hivatal részére </w:t>
            </w:r>
            <w:r w:rsidR="00BB46A2" w:rsidRPr="00D07AEC">
              <w:rPr>
                <w:rFonts w:eastAsia="Times New Roman"/>
                <w:sz w:val="18"/>
                <w:szCs w:val="18"/>
                <w:u w:val="wave"/>
              </w:rPr>
              <w:t>779 410 kWh</w:t>
            </w:r>
            <w:r w:rsidR="0034183B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mennyiségben 12 hónapos időtartamra. A szerződéses időszak alatt a szerződéses mennyiséghez viszonyított + 20% eltérés lehetséges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Részajánlat tételére lehetőség van.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valamennyi részre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legfeljebb a következő számú részre: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csak egy részre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Az egy ajánlattevőnek odaítélhető részek maximális száma: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Az ajánlatkérő fenntartja a jogot arra, hogy a következő részek vagy részcsoportok kombinációjával ítéljen oda szerződéseket: </w:t>
            </w:r>
          </w:p>
          <w:p w:rsidR="00F31610" w:rsidRPr="00D07AEC" w:rsidRDefault="00995EFE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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>Részajánlat tételének lehetősége nem biztosított.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részajánlat tételének kizárásának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indoka(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II.2) </w:t>
      </w:r>
      <w:proofErr w:type="gramStart"/>
      <w:r w:rsidRPr="00D07AEC"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 közbeszerzés ismertetése </w:t>
      </w:r>
      <w:r w:rsidRPr="00D07AEC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1"/>
        <w:gridCol w:w="2514"/>
      </w:tblGrid>
      <w:tr w:rsidR="00995EFE" w:rsidRPr="00D07AEC" w:rsidTr="00F31610">
        <w:tc>
          <w:tcPr>
            <w:tcW w:w="7310" w:type="dxa"/>
            <w:hideMark/>
          </w:tcPr>
          <w:p w:rsidR="00F31610" w:rsidRPr="00D07AEC" w:rsidRDefault="00F31610" w:rsidP="00995EFE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995EFE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Adásvételi szerződés villamos energia szállítására a Magyar Bányászati és Földtani Hivatal részére</w:t>
            </w:r>
          </w:p>
        </w:tc>
        <w:tc>
          <w:tcPr>
            <w:tcW w:w="2485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95EFE"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09310000-5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II.2.3)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3165C7" w:rsidRPr="00D07AEC" w:rsidRDefault="00F31610" w:rsidP="003165C7">
            <w:pPr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HU101] [HU23207] [HU21303] [HU10214] </w:t>
            </w:r>
            <w:proofErr w:type="gramStart"/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1145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 xml:space="preserve">Budapest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Columbus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u. 17-23.</w:t>
            </w:r>
          </w:p>
          <w:p w:rsidR="003165C7" w:rsidRPr="00D07AEC" w:rsidRDefault="00BB46A2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1045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 xml:space="preserve">Budapest 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Rózsa u. 21. IX/36.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1074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 xml:space="preserve">Budapest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Hársfa u. 40.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8609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 xml:space="preserve">Balatonszéplak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Liszt F. u. 4.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8600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Siófok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Kossuth L. u. 67.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1143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Stefánia út 14.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1118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Homonna u. 9.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1145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Tallér u. 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1145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Torontál u. 32.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1147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Lőcsei u. 59.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1037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Budapest, Mátyásbarlang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MFGI u. 16078/2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2000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Szentendre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Papsziget 1. 4468. ép.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8237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Tihany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Kossuth L. u. 91.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8237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Tihany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Kossuth L. u. 91.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8237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Tihany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Kossuth L. u. 91.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8237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Tihany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Cserhegy 1/X.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8066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Pusztavám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Szépvizér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3151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Rákóczibánya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Tőkési út 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3151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Rákóczibánya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Tőkési út 21.</w:t>
            </w:r>
          </w:p>
          <w:p w:rsidR="003165C7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7691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Pécs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Búzakalász u. 2.</w:t>
            </w:r>
          </w:p>
          <w:p w:rsidR="003165C7" w:rsidRPr="00D07AEC" w:rsidRDefault="00BB46A2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5000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Szolnok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Nagysándor J. u. 30.</w:t>
            </w:r>
          </w:p>
          <w:p w:rsidR="00F31610" w:rsidRPr="00D07AEC" w:rsidRDefault="003165C7" w:rsidP="003165C7">
            <w:pPr>
              <w:tabs>
                <w:tab w:val="left" w:pos="993"/>
                <w:tab w:val="left" w:pos="2977"/>
              </w:tabs>
              <w:ind w:left="55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3517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>Miskolc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ab/>
              <w:t xml:space="preserve">Ómassa,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Hármaskút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5000. ép.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165C7" w:rsidRPr="00DA1113">
              <w:rPr>
                <w:rFonts w:eastAsia="Times New Roman"/>
                <w:sz w:val="18"/>
                <w:szCs w:val="18"/>
                <w:u w:val="wave"/>
              </w:rPr>
              <w:t>779 410 kWh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Az alábbi értékelési szempontok</w:t>
            </w:r>
          </w:p>
          <w:p w:rsidR="00F31610" w:rsidRPr="00D07AEC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Minőségi szempont – Megnevezés: / Súlyszám: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D07AEC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Költség szempont – Megnevezés: / Súlyszám: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D07AEC" w:rsidRDefault="00AA4437" w:rsidP="0042537D">
            <w:pPr>
              <w:spacing w:before="120" w:after="120"/>
              <w:ind w:left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="00F31610"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keretmegállapodás vagy dinamikus beszerzési rendszer időtartama </w:t>
            </w:r>
          </w:p>
          <w:p w:rsidR="00F31610" w:rsidRPr="00D07AEC" w:rsidRDefault="003165C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Időtartam hónapban: [12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] vagy napban: </w:t>
            </w:r>
            <w:proofErr w:type="gramStart"/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D07AEC" w:rsidRDefault="00F31610" w:rsidP="003165C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igen </w:t>
            </w:r>
            <w:r w:rsidR="003165C7" w:rsidRPr="00D07AEC">
              <w:rPr>
                <w:rFonts w:eastAsia="Times New Roman"/>
                <w:sz w:val="18"/>
                <w:szCs w:val="18"/>
                <w:lang w:eastAsia="hu-HU"/>
              </w:rPr>
              <w:t>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meghosszabbítás leírása: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F31610" w:rsidRPr="00D07AEC" w:rsidRDefault="00F31610" w:rsidP="00AA443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igen </w:t>
            </w:r>
            <w:proofErr w:type="spellStart"/>
            <w:r w:rsidR="00AA4437"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  <w:proofErr w:type="spellEnd"/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F31610" w:rsidRPr="00D07AEC" w:rsidRDefault="00F31610" w:rsidP="00AA443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igen </w:t>
            </w:r>
            <w:r w:rsidR="00AA4437"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II.2.11) Információ az elektronikus katalógusokról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Az ajánlatokat elektronikus katalógus formájában kell benyújtani, vagy azoknak elektronikus katalógust kell tartalmazniuk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igen </w:t>
            </w:r>
            <w:r w:rsidR="00AA4437"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III. szakasz: Jogi, gazdasági, pénzügyi és műszaki információk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  <w:r w:rsidR="006525E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525E0" w:rsidRPr="00D07AEC">
              <w:rPr>
                <w:sz w:val="18"/>
                <w:szCs w:val="18"/>
              </w:rPr>
              <w:t>Nem lehet ajánlattevő, alvállalkozó, és nem vehet részt az alkalmasság igazolásában olyan gazdasági szereplő, aki a Kbt. 62. § (1) - (2) bekezdésében meghatározott kizáró okok hatálya alatt áll.</w:t>
            </w:r>
            <w:r w:rsidR="006525E0" w:rsidRPr="00D07AEC">
              <w:rPr>
                <w:sz w:val="18"/>
                <w:szCs w:val="18"/>
              </w:rPr>
              <w:br/>
              <w:t>Az igazolási módok felsorolása és rövid leírása:</w:t>
            </w:r>
            <w:r w:rsidR="006525E0" w:rsidRPr="00D07AEC">
              <w:rPr>
                <w:sz w:val="18"/>
                <w:szCs w:val="18"/>
              </w:rPr>
              <w:br/>
              <w:t>Igazolási mód: a 321/2015. (X. 30.) Korm. rendelet 2.-16. §</w:t>
            </w:r>
            <w:proofErr w:type="spellStart"/>
            <w:r w:rsidR="006525E0" w:rsidRPr="00D07AEC">
              <w:rPr>
                <w:sz w:val="18"/>
                <w:szCs w:val="18"/>
              </w:rPr>
              <w:t>-ai</w:t>
            </w:r>
            <w:proofErr w:type="spellEnd"/>
            <w:r w:rsidR="006525E0" w:rsidRPr="00D07AEC">
              <w:rPr>
                <w:sz w:val="18"/>
                <w:szCs w:val="18"/>
              </w:rPr>
              <w:t xml:space="preserve"> szerint.</w:t>
            </w:r>
            <w:r w:rsidR="006525E0" w:rsidRPr="00D07AEC">
              <w:rPr>
                <w:sz w:val="18"/>
                <w:szCs w:val="18"/>
              </w:rPr>
              <w:br/>
              <w:t>Ajánlattevőnek a Kbt. 67. § (4) bekezdése szerint nyilatkoznia kell, hogy nem vesz igénybe a Kbt. 62. § (1) - (2) bekezdése hatálya alá eső alvállalkozót, valamint az általa alkalmasságának igazolására igénybe vett más szervezet nem tartozik ugyanezen kizáró okok hatálya alá.</w:t>
            </w:r>
            <w:r w:rsidR="006525E0" w:rsidRPr="00D07AEC">
              <w:rPr>
                <w:sz w:val="18"/>
                <w:szCs w:val="18"/>
              </w:rPr>
              <w:br/>
              <w:t xml:space="preserve">A kizáró okokra vonatkozó </w:t>
            </w:r>
            <w:proofErr w:type="gramStart"/>
            <w:r w:rsidR="006525E0" w:rsidRPr="00D07AEC">
              <w:rPr>
                <w:sz w:val="18"/>
                <w:szCs w:val="18"/>
              </w:rPr>
              <w:t>nyilatkozat(</w:t>
            </w:r>
            <w:proofErr w:type="gramEnd"/>
            <w:r w:rsidR="006525E0" w:rsidRPr="00D07AEC">
              <w:rPr>
                <w:sz w:val="18"/>
                <w:szCs w:val="18"/>
              </w:rPr>
              <w:t>ok), egyéb igazolás(ok) keltezése nem lehet a felhívás feladása időpontjánál korábbi.</w:t>
            </w:r>
            <w:r w:rsidR="006525E0" w:rsidRPr="00D07AEC">
              <w:rPr>
                <w:sz w:val="18"/>
                <w:szCs w:val="18"/>
              </w:rPr>
              <w:br/>
              <w:t>Ajánlattevő az alkalmasság igazolása során más szervezet kapacitására támaszkodhat a Kbt. 65. § (7) bekezdése szerint. Ha az ajánlattevő a felhívásban vagy a dokumentációban előírt igazolás helyett a Kbt. 69. § (11) bekezdése szerint kíván tényt vagy adatot igazolni, abban az esetben az ajánlattevő nyilatkozatban köteles megadni, hogy melyik tényt vagy adatot kívánja a Kbt. 69. § (11) bekezdése szerint igazolni, és hogy mi az e tényt vagy adatot tartalmazó ingyenes, a közbeszerzési eljárás nyelvén rendelkezésre álló, elektronikus, hatósági nyilvántartás elektronikus elérhetősége.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</w:p>
        </w:tc>
      </w:tr>
      <w:tr w:rsidR="00F31610" w:rsidRPr="00D07AEC" w:rsidTr="00F31610">
        <w:tc>
          <w:tcPr>
            <w:tcW w:w="4758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6525E0" w:rsidRPr="00D07AEC" w:rsidRDefault="006525E0" w:rsidP="00AA4437">
            <w:pPr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Az ajánlattevőnek a 321/2015. (X. 30.) Korm. rendelet 19. § (1) bekezdés c) pontja szerint nyilatkoznia kell az előző legfeljebb három lezárt üzleti évben </w:t>
            </w:r>
            <w:r w:rsidR="00BB46A2" w:rsidRPr="00D07AEC">
              <w:rPr>
                <w:rFonts w:eastAsia="Times New Roman"/>
                <w:sz w:val="18"/>
                <w:szCs w:val="18"/>
                <w:lang w:eastAsia="hu-HU"/>
              </w:rPr>
              <w:t>villamos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energia szállítása tárgyában elért teljes nettó árbevételéről - attól függően, hogy az ajánlattevő mikor jött létre, illetve mikor kezdte meg tevékenységét, amennyiben ezek az adatok rendelkezésre állnak.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br/>
              <w:t>Ha Ajánlattevő - a 321/2015. (X. 30.) Korm. rendelet 19. § (1) bekezdés c pontja alapján, tekintettel a létrejöttének, illetve tevékenysége megkezdésének időpontjára - nem rendelkezik a felhívás megküldésének napját megelőző lezárt üzleti év árbevételi adataival, akkor az üzleti tevékenysége megkezdése óta eltelt időszak alatt elért teljes nettó árbevételének összegéről kell nyilatkoznia.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br/>
              <w:t>Az alkalmasság igazolása tekintetében irányadóak a Kbt. 3. § 10. pontja, a 65. § (6)-(7) bekezdései, valamint a 321/2015. (X. 30.) Korm. rendelet 1. § (1), illetve a 19. § (3) bekezdése.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Az ajánlatkérő tájékoztatja ajánlattevőket, hogy a pénzügyi gazdasági és a műszaki szakmai alkalmasság feltételeit a minősített ajánlattevők jegyzékében foglaltakhoz képest szigorúbban állapította meg, ezért a minősített ajánlattevőknek is igazolniuk kell a szerződés teljesítésére való alkalmasságukat a közbeszerzés tárgya szerinti árbevételük, valamint a felhívás feladásától visszafelé számított megelőző három év legjelentősebb </w:t>
            </w:r>
            <w:r w:rsidR="008C0351" w:rsidRPr="00D07AEC">
              <w:rPr>
                <w:rFonts w:eastAsia="Times New Roman"/>
                <w:sz w:val="18"/>
                <w:szCs w:val="18"/>
                <w:lang w:eastAsia="hu-HU"/>
              </w:rPr>
              <w:t>villamos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energia szállításaik bemutatását illetően. </w:t>
            </w:r>
          </w:p>
          <w:p w:rsidR="006525E0" w:rsidRPr="00D07AEC" w:rsidRDefault="006525E0" w:rsidP="006525E0">
            <w:pPr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37" w:type="dxa"/>
            <w:hideMark/>
          </w:tcPr>
          <w:p w:rsidR="00F31610" w:rsidRPr="00D07AEC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Alkalmassági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) meghatározása:</w:t>
            </w:r>
          </w:p>
          <w:p w:rsidR="006525E0" w:rsidRPr="00D07AEC" w:rsidRDefault="006525E0" w:rsidP="006525E0">
            <w:pPr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Alkalmatlannak minősül az ajánlattevő, ha nem rendelkezik az előző üzleti évben </w:t>
            </w:r>
            <w:r w:rsidR="00BB46A2" w:rsidRPr="00D07AEC">
              <w:rPr>
                <w:rFonts w:eastAsia="Times New Roman"/>
                <w:sz w:val="18"/>
                <w:szCs w:val="18"/>
                <w:lang w:eastAsia="hu-HU"/>
              </w:rPr>
              <w:t>villamos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energia szállításából származó legalább nettó </w:t>
            </w:r>
            <w:r w:rsidR="00BB46A2" w:rsidRPr="00D07AEC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0 millió forint árbevétellel.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Ha ajánlattevő, tekintettel létrejöttének, illetve tevékenysége megkezdésének időpontjára, nem rendelkezik lezárt üzleti év árbevételi adataival, akkor alkalmatlannak minősül, ha nem rendelkezik az üzleti tevékenysége megkezdése óta eltelt időszakban, </w:t>
            </w:r>
            <w:r w:rsidR="008C0351" w:rsidRPr="00D07AEC">
              <w:rPr>
                <w:rFonts w:eastAsia="Times New Roman"/>
                <w:sz w:val="18"/>
                <w:szCs w:val="18"/>
                <w:lang w:eastAsia="hu-HU"/>
              </w:rPr>
              <w:t>villamos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energia értékesít</w:t>
            </w:r>
            <w:r w:rsidR="00BB46A2" w:rsidRPr="00D07AEC">
              <w:rPr>
                <w:rFonts w:eastAsia="Times New Roman"/>
                <w:sz w:val="18"/>
                <w:szCs w:val="18"/>
                <w:lang w:eastAsia="hu-HU"/>
              </w:rPr>
              <w:t>éséből származó legalább nettó 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0 millió forint árbevétellel. </w:t>
            </w:r>
          </w:p>
          <w:p w:rsidR="006525E0" w:rsidRPr="00D07AEC" w:rsidRDefault="006525E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</w:p>
        </w:tc>
      </w:tr>
      <w:tr w:rsidR="00F31610" w:rsidRPr="00D07AEC" w:rsidTr="00F31610">
        <w:tc>
          <w:tcPr>
            <w:tcW w:w="4758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Az igazolási módok felsorolása és rövid leírása: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525E0" w:rsidRPr="00D07AEC" w:rsidRDefault="006525E0" w:rsidP="006525E0">
            <w:pPr>
              <w:tabs>
                <w:tab w:val="num" w:pos="0"/>
              </w:tabs>
              <w:spacing w:before="120" w:after="120"/>
              <w:rPr>
                <w:sz w:val="18"/>
                <w:szCs w:val="18"/>
              </w:rPr>
            </w:pPr>
            <w:r w:rsidRPr="00D07AEC">
              <w:rPr>
                <w:sz w:val="18"/>
                <w:szCs w:val="18"/>
              </w:rPr>
              <w:t xml:space="preserve">Az ajánlattevőnek a 321/2015. (X.30.) Korm. rendelet 21. § (1) bekezdés a) pontja szerint ismertetnie kell a felhívás feladásától </w:t>
            </w:r>
            <w:r w:rsidRPr="00D07AEC">
              <w:rPr>
                <w:sz w:val="18"/>
                <w:szCs w:val="18"/>
              </w:rPr>
              <w:lastRenderedPageBreak/>
              <w:t xml:space="preserve">visszafelé számított megelőző három év (36 hónap) legjelentősebb </w:t>
            </w:r>
            <w:r w:rsidR="00BB46A2" w:rsidRPr="00D07AEC">
              <w:rPr>
                <w:sz w:val="18"/>
                <w:szCs w:val="18"/>
              </w:rPr>
              <w:t>villamos</w:t>
            </w:r>
            <w:r w:rsidRPr="00D07AEC">
              <w:rPr>
                <w:sz w:val="18"/>
                <w:szCs w:val="18"/>
              </w:rPr>
              <w:t xml:space="preserve"> energia szállításait (megjelölve legalább a teljesítés idejét, a szerződést kötő másik felet, a szállítás tárgyát, az ellenszolgáltatás nettó összegét, továbbá arra vonatkozó nyilatkozatát, hogy a teljesítés az előírásoknak és a szerződésnek megfelelően történt-e).</w:t>
            </w:r>
          </w:p>
          <w:p w:rsidR="006525E0" w:rsidRPr="00D07AEC" w:rsidRDefault="006525E0" w:rsidP="006525E0">
            <w:pPr>
              <w:tabs>
                <w:tab w:val="num" w:pos="0"/>
              </w:tabs>
              <w:spacing w:before="120" w:after="120"/>
              <w:rPr>
                <w:sz w:val="18"/>
                <w:szCs w:val="18"/>
              </w:rPr>
            </w:pPr>
            <w:r w:rsidRPr="00D07AEC">
              <w:rPr>
                <w:sz w:val="18"/>
                <w:szCs w:val="18"/>
              </w:rPr>
              <w:t>Az alkalmasság igazolása tekintetében irányadóak a Kbt. 3. § 10. pontja, a 65. § (6)-(7) bekezdései, valamint a 321/2015. (X.30.) Korm. rendelet 1. § (1), illetve a 22. § (1)-(2).</w:t>
            </w:r>
          </w:p>
          <w:p w:rsidR="006525E0" w:rsidRPr="00D07AEC" w:rsidRDefault="006525E0" w:rsidP="006525E0">
            <w:pPr>
              <w:tabs>
                <w:tab w:val="num" w:pos="0"/>
              </w:tabs>
              <w:spacing w:before="120" w:after="120"/>
              <w:rPr>
                <w:sz w:val="18"/>
                <w:szCs w:val="18"/>
              </w:rPr>
            </w:pPr>
            <w:r w:rsidRPr="00D07AEC">
              <w:rPr>
                <w:sz w:val="18"/>
                <w:szCs w:val="18"/>
              </w:rPr>
              <w:t>Az ajánlatkérő tájékoztatja ajánlattevőket, hogy a pénzügyi gazdasági és a műszaki szakmai alkalmasság feltételeit a minősített ajánlattevők jegyzékében foglaltakhoz képest szigorúbban állapította meg, ezért a minősített ajánlattevőknek is igazolniuk kell a szerződés teljesítésére való alkalmasságukat a közbeszerzés tárgya szerinti árbevételük, valamint a felhívás feladásától visszafelé számított me</w:t>
            </w:r>
            <w:r w:rsidR="008C0351" w:rsidRPr="00D07AEC">
              <w:rPr>
                <w:sz w:val="18"/>
                <w:szCs w:val="18"/>
              </w:rPr>
              <w:t>gelőző három év legjelentősebb villamos</w:t>
            </w:r>
            <w:r w:rsidRPr="00D07AEC">
              <w:rPr>
                <w:sz w:val="18"/>
                <w:szCs w:val="18"/>
              </w:rPr>
              <w:t xml:space="preserve"> energia szállításaik bemutatását illetően.</w:t>
            </w:r>
          </w:p>
          <w:p w:rsidR="006525E0" w:rsidRPr="00D07AEC" w:rsidRDefault="006525E0" w:rsidP="006525E0">
            <w:pPr>
              <w:tabs>
                <w:tab w:val="num" w:pos="0"/>
              </w:tabs>
              <w:spacing w:before="120" w:after="120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37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Alkalmassági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525E0" w:rsidRPr="00D07AEC" w:rsidRDefault="006525E0" w:rsidP="006525E0">
            <w:pPr>
              <w:tabs>
                <w:tab w:val="num" w:pos="0"/>
              </w:tabs>
              <w:spacing w:before="120" w:after="120"/>
              <w:rPr>
                <w:sz w:val="18"/>
                <w:szCs w:val="18"/>
              </w:rPr>
            </w:pPr>
            <w:r w:rsidRPr="00D07AEC">
              <w:rPr>
                <w:sz w:val="18"/>
                <w:szCs w:val="18"/>
              </w:rPr>
              <w:t xml:space="preserve">Alkalmatlannak minősül az ajánlattevő, ha nem rendelkezik a felhívás feladását megelőző három évben (36 hónapban) összesen </w:t>
            </w:r>
            <w:r w:rsidRPr="00D07AEC">
              <w:rPr>
                <w:sz w:val="18"/>
                <w:szCs w:val="18"/>
              </w:rPr>
              <w:lastRenderedPageBreak/>
              <w:t xml:space="preserve">legalább nettó 20 millió forint összegben értékesített </w:t>
            </w:r>
            <w:r w:rsidR="008C0351" w:rsidRPr="00D07AEC">
              <w:rPr>
                <w:sz w:val="18"/>
                <w:szCs w:val="18"/>
              </w:rPr>
              <w:t>villamos</w:t>
            </w:r>
            <w:r w:rsidRPr="00D07AEC">
              <w:rPr>
                <w:sz w:val="18"/>
                <w:szCs w:val="18"/>
              </w:rPr>
              <w:t xml:space="preserve"> energia szállításáról szóló referenciával.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szerződés teljesítése védett munkahely-teremtési programok keretében történik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szerződés a Kbt. 114. § (11) bekezdése szerint fenntartott</w:t>
            </w: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biztosítékai: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5032" w:rsidRPr="00D07AEC" w:rsidRDefault="00755032" w:rsidP="008C0351">
            <w:pPr>
              <w:ind w:right="61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Nyertes Ajánlattevő szerződés szegő nem teljesítése esetén a villamos energia mennyiség alapján az ajánlati egységárral számolt 1 éves időtartamra eső díj 25%-nak megfelelő összegű meghiúsulási kötbért köteles fizetni. Késedelmes teljesítés esetén nyertes késedelmi kötbér fizetésére köteles, melynek mértéke 1%/nap, alapja a késedelemmel érintett mennyiségre jutó nettó ellenszolgáltatás összege. A késedelmi kamatra vonatkozóan a Ptk.6:155.§ rendelkezései az irányadóak. A részletes fizetési feltételeket és a szerződést biztosító mellékkötelezettségeket a szerződéstervezet tartalmazza. </w:t>
            </w: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755032" w:rsidRPr="00D07AEC" w:rsidRDefault="00755032" w:rsidP="0075503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Ajánlatkérő a szerződés teljesítéséhez szükséges anyagi fedezettel rendelkezik. </w:t>
            </w:r>
          </w:p>
          <w:p w:rsidR="00755032" w:rsidRPr="00D07AEC" w:rsidRDefault="00755032" w:rsidP="0075503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ellenszolgáltatás megfizetésére az egyes számlák vonatkozásában a szerződésben meghatározott módon és tartalommal való teljesítés esetén havonta, utólag, átutalással, a teljesítés igazolását követően, a szabályszerűen kiállított számla alapján kerül sor. ( Kbt. 135. § (5) bekezdés.)</w:t>
            </w:r>
          </w:p>
          <w:p w:rsidR="00755032" w:rsidRPr="00D07AEC" w:rsidRDefault="00755032" w:rsidP="0075503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díj megfizetésére az aláírt teljesítésigazolás és a vonatkozó jogszabályok szerint kiállított számla kézhezvételét követő 30 napon belül kerül sor, a Ptk. 6:130.</w:t>
            </w:r>
            <w:r w:rsidR="005A1B8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§ (1) és (2) bekezdése, illetve az adózás rendjéről szóló 2003. évi XCII. törvény (Art.) 36/A. § rendelkezéseinek figyelembevételével. </w:t>
            </w:r>
          </w:p>
          <w:p w:rsidR="00755032" w:rsidRPr="00D07AEC" w:rsidRDefault="00755032" w:rsidP="00AA4437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ajánlatkérő előleget nem biztosít.</w:t>
            </w:r>
          </w:p>
        </w:tc>
      </w:tr>
      <w:tr w:rsidR="00F31610" w:rsidRPr="00D07AEC" w:rsidTr="00F31610">
        <w:tc>
          <w:tcPr>
            <w:tcW w:w="9795" w:type="dxa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III.1.8)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közös ajánlattevők által létrehozandó gazdálkodó szervezet: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5032" w:rsidRPr="00D07AEC" w:rsidRDefault="00755032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Ajánlatkérő nem teszi lehetővé, hogy a nyertes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ajánlattevő(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k) a szerződés teljesítése érdekében gazdálkodó szervezetet hozzanak létre a szerződés teljesítése érdekében.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III.2) </w:t>
      </w:r>
      <w:proofErr w:type="gramStart"/>
      <w:r w:rsidRPr="00D07AEC"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 szerződéssel kapcsolatos feltételek </w:t>
      </w:r>
      <w:r w:rsidRPr="00D07AEC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szolgáltatás teljesítése egy meghatározott szakmához (képzettséghez) van kötve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Az ajánlattevőknek közölniük kell a szerződés teljesítésében közreműködő személyek nevét és szakképzettségét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lastRenderedPageBreak/>
        <w:t>IV. szakasz: Eljárás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5024"/>
      </w:tblGrid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</w:tc>
      </w:tr>
      <w:tr w:rsidR="00F31610" w:rsidRPr="00D07AEC" w:rsidTr="00A2599A">
        <w:tc>
          <w:tcPr>
            <w:tcW w:w="4758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F31610" w:rsidRPr="00D07AEC" w:rsidRDefault="008E48C7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D07AEC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Gyorsított eljárás</w:t>
            </w:r>
          </w:p>
          <w:p w:rsidR="00F31610" w:rsidRPr="00D07AEC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Meghívásos eljárás</w:t>
            </w:r>
          </w:p>
          <w:p w:rsidR="00F31610" w:rsidRPr="00D07AEC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Gyorsított eljárás</w:t>
            </w:r>
          </w:p>
          <w:p w:rsidR="00F31610" w:rsidRPr="00D07AEC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Tárgyalásos eljárás</w:t>
            </w:r>
          </w:p>
          <w:p w:rsidR="00F31610" w:rsidRPr="00D07AEC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Gyorsított eljárás</w:t>
            </w:r>
          </w:p>
          <w:p w:rsidR="00F31610" w:rsidRPr="00D07AEC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Versenypárbeszéd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Innovációs partnerség</w:t>
            </w:r>
          </w:p>
        </w:tc>
        <w:tc>
          <w:tcPr>
            <w:tcW w:w="5037" w:type="dxa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Nyílt eljárás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Meghívásos eljárás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Tárgyalásos eljárás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Versenypárbeszéd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Innovációs partnerség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Keretmegállapodásra vagy dinamikus beszerzési rendszerre vonatkozó információk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hirdetmény keretmegállapodás megkötésére irányul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Keretmegállapodás egy ajánlattevővel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Keretmegállapodás több ajánlattevővel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hirdetmény dinamikus beszerzési rendszer létrehozására irányul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dinamikus beszerzési rendszert további beszerzők is alkalmazhatják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Keretmegállapodások esetén – közszolgáltató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IV.1.3)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megoldások, illetve ajánlatok számának a tárgyalásos eljárás vagy a versenypárbeszéd során történő csökkentesére irányuló információ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esetében; kizárólag tárgyalásos eljárás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Ajánlatkérő fenntartja a jogot arra, hogy a szerződést az eredeti ajánlat alapján, tárgyalások lefolytatása nélkül ítélje oda.</w:t>
            </w:r>
          </w:p>
        </w:tc>
      </w:tr>
      <w:tr w:rsidR="00F31610" w:rsidRPr="00D07AEC" w:rsidTr="00F31610">
        <w:tc>
          <w:tcPr>
            <w:tcW w:w="0" w:type="auto"/>
            <w:gridSpan w:val="2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Elektronikus árlejtést fognak alkalmazni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D07AEC" w:rsidRDefault="00F31610" w:rsidP="005A1B8F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>2017/04/1</w:t>
            </w:r>
            <w:r w:rsidR="005A1B8F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10:00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IV.2.3) </w:t>
            </w:r>
            <w:r w:rsidRPr="00DA1113"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Az ajánlattételi</w:t>
            </w: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részvételi felhívás kiválasztott jelentkezők részére történő </w:t>
            </w:r>
            <w:r w:rsidRPr="00DA1113"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megküldésének tervezett napja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(részvételi felhívás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Dátum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proofErr w:type="gram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6146C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IV.2.4) Azok a nyelvek, amelyeken az ajánlatok vagy részvételi jelentkezések benyújthatók: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>magyar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D07AEC" w:rsidRDefault="00F31610" w:rsidP="006146C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vagy napban: [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>60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ajánlattételi határidő lejártától számítva)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Datum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>2017/04/1</w:t>
            </w:r>
            <w:r w:rsidR="005A1B8F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6146CD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10.00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1145 Budapest, </w:t>
            </w:r>
            <w:proofErr w:type="spellStart"/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>Columbus</w:t>
            </w:r>
            <w:proofErr w:type="spellEnd"/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utca 17-23. 129. sz. helyiség</w:t>
            </w:r>
          </w:p>
          <w:p w:rsidR="00F31610" w:rsidRPr="00D07AEC" w:rsidRDefault="00F31610" w:rsidP="008E48C7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A bontáson a Kbt. 68. § (3) bekezdés szerinti személyek vehetnek részt.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VI. szakasz: Kiegészítő információk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VI.1) </w:t>
      </w:r>
      <w:proofErr w:type="gramStart"/>
      <w:r w:rsidRPr="00D07AEC"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 közbeszerzés ismétlődő jellegére vonatkozó információk</w:t>
      </w:r>
      <w:r w:rsidRPr="00D07AEC">
        <w:rPr>
          <w:rFonts w:eastAsia="Times New Roman"/>
          <w:sz w:val="18"/>
          <w:szCs w:val="18"/>
          <w:lang w:eastAsia="hu-HU"/>
        </w:rPr>
        <w:t xml:space="preserve"> </w:t>
      </w:r>
      <w:r w:rsidRPr="00D07AEC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igen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 nem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8E48C7"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2018/0</w:t>
            </w:r>
            <w:r w:rsidR="005A1B8F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megrendelés elektronikus úton történik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Elektronikusan benyújtott számlákat elfogadnak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 fizetés elektronikus úton történik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VI.3) További információk: </w:t>
      </w:r>
      <w:r w:rsidRPr="00D07AEC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VI.3.1) Feltételes közbeszerzés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Ajánlatkérő ellenőrzési körén kívül eső, bizonytalan jövőbeli esemény meghatározása: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VI.3.2) Az ajánlati biztosíték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Az eljárásban való részvétel ajánlati biztosíték adásához kötött.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ajánlati biztosíték mértéke: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VI.3.3) Konzultációra vonatkozó információk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Kiegészítő tájékoztatást ajánlatkérő konzultáció formájában is megadja.</w:t>
            </w:r>
          </w:p>
          <w:p w:rsidR="00F31610" w:rsidRPr="00D07AEC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konzultáció időpontja: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és helye: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VI.3.4) Alvállalkozók igénybevétele</w:t>
            </w:r>
          </w:p>
          <w:p w:rsidR="00F31610" w:rsidRPr="00D07AEC" w:rsidRDefault="00F31610" w:rsidP="0042537D">
            <w:pPr>
              <w:spacing w:before="120" w:after="120"/>
              <w:ind w:left="380" w:hanging="3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Ajánlatkérő előírja, hogy az ajánlatban (részvételi jelentkezésben) meg kell jelölni a közbeszerzésnek azt (azokat) a részét (részeit), amelynek teljesítéséhez az ajánlattevő (részvételre jelentkező) alvállalkozót kíván igénybe venni, az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részek tekintetében igénybe venni kívánt és az ajánlat vagy a részvételi jelentkezés benyújtásakor már ismert alvállalkozókat.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VI.3.5) Hiánypótlás elrendelése korábban nem szereplő gazdasági szereplő esetében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Ajánlatban, vagy jelentkezésben korábban nem szereplő gazdasági szereplő hiánypótlással történő eljárásba bevonása esetében újabb hiánypótlás elrendelése 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 igen </w:t>
            </w:r>
            <w:proofErr w:type="spellStart"/>
            <w:r w:rsidR="005A1B8F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  <w:proofErr w:type="spellEnd"/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korlátozás(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ok) meghatározása újabb hiánypótlás elrendelése esetében: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VI.3.6) Ajánlat érvénytelenségére vonatkozó összeg ár vagy költség esetében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Ajánlatkérő az alábbi értéket meghaladó árat vagy költséget tartalmazó ajánlatot a bírálat során érvénytelenné nyilvánítja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Érték ÁFA nélkül: [ ] Pénznem: [ ][ ][ ]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VI.3.7) Bármely rész eredménytelensége esetében valamennyi rész eredménytelenségére vonatkozó információ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Ajánlatkérő rögzíti, hogy bármely rész eredménytelensége esetén nem áll érdekében a szerződések megkötése.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Valamennyi rész esetében a szerződéskötés érdekmúlásának indoka: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VI.3.8) Az ajánlatok értékelési szempontok szerinti tartalmi elemeinek értékelése során adható pontszám:</w:t>
            </w: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VI.3.9)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a VI.3.8) pont szerinti ponthatárok közötti pontszámot megadásra kerül: </w:t>
            </w:r>
            <w:r w:rsidRPr="00D07AE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VI.3.10) </w:t>
            </w:r>
            <w:proofErr w:type="spell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 alkalmazására vonatkozó információ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 Ajánlatkérő az áru, szolgáltatás vagy építési beruházás értékeléskor figyelembe vett költségét </w:t>
            </w:r>
            <w:proofErr w:type="spellStart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D07AEC">
              <w:rPr>
                <w:rFonts w:eastAsia="Times New Roman"/>
                <w:sz w:val="18"/>
                <w:szCs w:val="18"/>
                <w:lang w:eastAsia="hu-HU"/>
              </w:rPr>
              <w:t xml:space="preserve"> módszer alkalmazásával határozza meg.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VI.3.11) </w:t>
            </w:r>
            <w:proofErr w:type="gramStart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bírálatra vonatkozó további információk </w:t>
            </w:r>
            <w:r w:rsidRPr="00D07AEC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esetében)</w:t>
            </w:r>
          </w:p>
          <w:p w:rsidR="00F31610" w:rsidRPr="00D07AEC" w:rsidRDefault="00D07AEC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A111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D07AEC">
              <w:rPr>
                <w:rFonts w:eastAsia="Times New Roman"/>
                <w:sz w:val="18"/>
                <w:szCs w:val="18"/>
                <w:lang w:eastAsia="hu-HU"/>
              </w:rPr>
              <w:t>Ajánlatkérő a bírálatnak az aránytalanul alacsony ár vagy költség vizsgálatára vonatkozó részét az ajánlatok értékelését követően végzi el.</w:t>
            </w:r>
          </w:p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sz w:val="18"/>
                <w:szCs w:val="18"/>
                <w:lang w:eastAsia="hu-HU"/>
              </w:rPr>
              <w:t> Ajánlatkérő az ajánlatok bírálatát – az egységes európai közbeszerzési dokumentumban foglalt nyilatkozat alapján – az ajánlatok értékelését követően végzi el.</w:t>
            </w:r>
          </w:p>
        </w:tc>
      </w:tr>
      <w:tr w:rsidR="00F31610" w:rsidRPr="00D07AEC" w:rsidTr="00F31610">
        <w:tc>
          <w:tcPr>
            <w:tcW w:w="0" w:type="auto"/>
            <w:hideMark/>
          </w:tcPr>
          <w:p w:rsidR="00F31610" w:rsidRPr="00D07AE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D07AE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VI.3.12) További információk:</w:t>
            </w:r>
          </w:p>
        </w:tc>
      </w:tr>
    </w:tbl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b/>
          <w:bCs/>
          <w:sz w:val="18"/>
          <w:szCs w:val="18"/>
          <w:lang w:eastAsia="hu-HU"/>
        </w:rPr>
        <w:t>VI.4</w:t>
      </w:r>
      <w:r w:rsidRPr="00053BFE">
        <w:rPr>
          <w:rFonts w:eastAsia="Times New Roman"/>
          <w:b/>
          <w:bCs/>
          <w:sz w:val="18"/>
          <w:szCs w:val="18"/>
          <w:lang w:eastAsia="hu-HU"/>
        </w:rPr>
        <w:t xml:space="preserve">) E </w:t>
      </w:r>
      <w:r w:rsidR="00053BFE" w:rsidRPr="00053BFE">
        <w:rPr>
          <w:rFonts w:eastAsia="Times New Roman"/>
          <w:b/>
          <w:bCs/>
          <w:sz w:val="18"/>
          <w:szCs w:val="18"/>
          <w:lang w:eastAsia="hu-HU"/>
        </w:rPr>
        <w:t xml:space="preserve">felhívás megküldésének </w:t>
      </w:r>
      <w:r w:rsidRPr="00053BFE">
        <w:rPr>
          <w:rFonts w:eastAsia="Times New Roman"/>
          <w:b/>
          <w:bCs/>
          <w:sz w:val="18"/>
          <w:szCs w:val="18"/>
          <w:lang w:eastAsia="hu-HU"/>
        </w:rPr>
        <w:t>dátuma</w:t>
      </w:r>
      <w:r w:rsidRPr="00D07AEC">
        <w:rPr>
          <w:rFonts w:eastAsia="Times New Roman"/>
          <w:b/>
          <w:bCs/>
          <w:sz w:val="18"/>
          <w:szCs w:val="18"/>
          <w:lang w:eastAsia="hu-HU"/>
        </w:rPr>
        <w:t xml:space="preserve">: </w:t>
      </w:r>
      <w:r w:rsidR="005A1B8F">
        <w:rPr>
          <w:rFonts w:eastAsia="Times New Roman"/>
          <w:b/>
          <w:bCs/>
          <w:sz w:val="18"/>
          <w:szCs w:val="18"/>
          <w:lang w:eastAsia="hu-HU"/>
        </w:rPr>
        <w:t xml:space="preserve">2017/04/06 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(</w:t>
      </w:r>
      <w:proofErr w:type="spellStart"/>
      <w:r w:rsidRPr="00D07AEC">
        <w:rPr>
          <w:rFonts w:eastAsia="Times New Roman"/>
          <w:i/>
          <w:iCs/>
          <w:sz w:val="18"/>
          <w:szCs w:val="18"/>
          <w:lang w:eastAsia="hu-HU"/>
        </w:rPr>
        <w:t>éééé</w:t>
      </w:r>
      <w:proofErr w:type="spellEnd"/>
      <w:r w:rsidRPr="00D07AEC">
        <w:rPr>
          <w:rFonts w:eastAsia="Times New Roman"/>
          <w:i/>
          <w:iCs/>
          <w:sz w:val="18"/>
          <w:szCs w:val="18"/>
          <w:lang w:eastAsia="hu-HU"/>
        </w:rPr>
        <w:t>/</w:t>
      </w:r>
      <w:proofErr w:type="spellStart"/>
      <w:r w:rsidRPr="00D07AEC">
        <w:rPr>
          <w:rFonts w:eastAsia="Times New Roman"/>
          <w:i/>
          <w:iCs/>
          <w:sz w:val="18"/>
          <w:szCs w:val="18"/>
          <w:lang w:eastAsia="hu-HU"/>
        </w:rPr>
        <w:t>hh</w:t>
      </w:r>
      <w:proofErr w:type="spellEnd"/>
      <w:r w:rsidRPr="00D07AEC">
        <w:rPr>
          <w:rFonts w:eastAsia="Times New Roman"/>
          <w:i/>
          <w:iCs/>
          <w:sz w:val="18"/>
          <w:szCs w:val="18"/>
          <w:lang w:eastAsia="hu-HU"/>
        </w:rPr>
        <w:t>/</w:t>
      </w:r>
      <w:proofErr w:type="spellStart"/>
      <w:r w:rsidRPr="00D07AEC">
        <w:rPr>
          <w:rFonts w:eastAsia="Times New Roman"/>
          <w:i/>
          <w:iCs/>
          <w:sz w:val="18"/>
          <w:szCs w:val="18"/>
          <w:lang w:eastAsia="hu-HU"/>
        </w:rPr>
        <w:t>nn</w:t>
      </w:r>
      <w:proofErr w:type="spellEnd"/>
      <w:r w:rsidRPr="00D07AEC">
        <w:rPr>
          <w:rFonts w:eastAsia="Times New Roman"/>
          <w:i/>
          <w:iCs/>
          <w:sz w:val="18"/>
          <w:szCs w:val="18"/>
          <w:lang w:eastAsia="hu-HU"/>
        </w:rPr>
        <w:t>/)</w:t>
      </w:r>
    </w:p>
    <w:p w:rsidR="00F31610" w:rsidRPr="00D07AEC" w:rsidRDefault="00F31610" w:rsidP="0042537D">
      <w:pPr>
        <w:spacing w:before="120" w:after="120"/>
        <w:jc w:val="center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D07AEC" w:rsidRDefault="00F31610" w:rsidP="0042537D">
      <w:pPr>
        <w:spacing w:before="120" w:after="120"/>
        <w:jc w:val="center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vertAlign w:val="superscript"/>
          <w:lang w:eastAsia="hu-HU"/>
        </w:rPr>
        <w:t>1    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D07AEC" w:rsidRDefault="00F31610" w:rsidP="0042537D">
      <w:pPr>
        <w:spacing w:before="120" w:after="120"/>
        <w:jc w:val="left"/>
        <w:rPr>
          <w:rFonts w:eastAsia="Times New Roman"/>
          <w:sz w:val="18"/>
          <w:szCs w:val="18"/>
          <w:lang w:eastAsia="hu-HU"/>
        </w:rPr>
      </w:pPr>
      <w:r w:rsidRPr="00D07AEC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D07AEC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F31610" w:rsidRPr="00D07AEC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53BFE"/>
    <w:rsid w:val="000778ED"/>
    <w:rsid w:val="000B7E8B"/>
    <w:rsid w:val="000C757F"/>
    <w:rsid w:val="000D50BD"/>
    <w:rsid w:val="000E462F"/>
    <w:rsid w:val="000F6D29"/>
    <w:rsid w:val="0012491E"/>
    <w:rsid w:val="00126188"/>
    <w:rsid w:val="00145F2F"/>
    <w:rsid w:val="001712DD"/>
    <w:rsid w:val="00173713"/>
    <w:rsid w:val="0018117E"/>
    <w:rsid w:val="001815AB"/>
    <w:rsid w:val="001840EA"/>
    <w:rsid w:val="001977C3"/>
    <w:rsid w:val="00215BC7"/>
    <w:rsid w:val="002670BE"/>
    <w:rsid w:val="002B603C"/>
    <w:rsid w:val="002D0689"/>
    <w:rsid w:val="003165C7"/>
    <w:rsid w:val="003216B1"/>
    <w:rsid w:val="00336A1A"/>
    <w:rsid w:val="0034183B"/>
    <w:rsid w:val="00384EC1"/>
    <w:rsid w:val="003E603E"/>
    <w:rsid w:val="00402483"/>
    <w:rsid w:val="0042537D"/>
    <w:rsid w:val="004A7664"/>
    <w:rsid w:val="004C642A"/>
    <w:rsid w:val="00506BAF"/>
    <w:rsid w:val="00520044"/>
    <w:rsid w:val="005271B4"/>
    <w:rsid w:val="005A1B8F"/>
    <w:rsid w:val="005B6C32"/>
    <w:rsid w:val="006146CD"/>
    <w:rsid w:val="0063499C"/>
    <w:rsid w:val="006512C7"/>
    <w:rsid w:val="006525E0"/>
    <w:rsid w:val="006810A5"/>
    <w:rsid w:val="006E142E"/>
    <w:rsid w:val="006F548E"/>
    <w:rsid w:val="00737F99"/>
    <w:rsid w:val="00755032"/>
    <w:rsid w:val="007677B1"/>
    <w:rsid w:val="007C3BEC"/>
    <w:rsid w:val="007E1CE7"/>
    <w:rsid w:val="008C0351"/>
    <w:rsid w:val="008E48C7"/>
    <w:rsid w:val="008E789B"/>
    <w:rsid w:val="008F001A"/>
    <w:rsid w:val="008F1AEF"/>
    <w:rsid w:val="0090587D"/>
    <w:rsid w:val="0093398C"/>
    <w:rsid w:val="009706A8"/>
    <w:rsid w:val="00995EFE"/>
    <w:rsid w:val="009C2677"/>
    <w:rsid w:val="009D0FC3"/>
    <w:rsid w:val="009D1AF4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A4437"/>
    <w:rsid w:val="00AC495C"/>
    <w:rsid w:val="00AE5FB5"/>
    <w:rsid w:val="00AF4AF4"/>
    <w:rsid w:val="00B01F5C"/>
    <w:rsid w:val="00B17D92"/>
    <w:rsid w:val="00B3410C"/>
    <w:rsid w:val="00B41493"/>
    <w:rsid w:val="00BB46A2"/>
    <w:rsid w:val="00BC64BD"/>
    <w:rsid w:val="00BD1E42"/>
    <w:rsid w:val="00BF0B81"/>
    <w:rsid w:val="00C0605D"/>
    <w:rsid w:val="00C11EEB"/>
    <w:rsid w:val="00D07AEC"/>
    <w:rsid w:val="00D32253"/>
    <w:rsid w:val="00D5049C"/>
    <w:rsid w:val="00D61A7A"/>
    <w:rsid w:val="00D9687F"/>
    <w:rsid w:val="00DA1113"/>
    <w:rsid w:val="00DA4E1F"/>
    <w:rsid w:val="00E43CD6"/>
    <w:rsid w:val="00E71D54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34183B"/>
    <w:rPr>
      <w:strike w:val="0"/>
      <w:dstrike w:val="0"/>
      <w:color w:val="157F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fh.hu/home/html/index.asp?msid=1&amp;sid=0&amp;hkl=273&amp;lng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2795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gyorgy_lukucza</cp:lastModifiedBy>
  <cp:revision>3</cp:revision>
  <dcterms:created xsi:type="dcterms:W3CDTF">2017-04-06T08:42:00Z</dcterms:created>
  <dcterms:modified xsi:type="dcterms:W3CDTF">2017-04-06T09:01:00Z</dcterms:modified>
</cp:coreProperties>
</file>