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FD" w:rsidRPr="0001188D" w:rsidRDefault="005378FD" w:rsidP="00054864">
      <w:pPr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val="hu-HU" w:eastAsia="hu-HU"/>
        </w:rPr>
      </w:pPr>
      <w:r w:rsidRPr="0001188D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val="hu-HU" w:eastAsia="hu-HU"/>
        </w:rPr>
        <w:t xml:space="preserve">2. melléklet a 44/2015. (XI. 2.) </w:t>
      </w:r>
      <w:proofErr w:type="spellStart"/>
      <w:r w:rsidRPr="0001188D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val="hu-HU" w:eastAsia="hu-HU"/>
        </w:rPr>
        <w:t>MvM</w:t>
      </w:r>
      <w:proofErr w:type="spellEnd"/>
      <w:r w:rsidRPr="0001188D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val="hu-HU" w:eastAsia="hu-HU"/>
        </w:rPr>
        <w:t xml:space="preserve"> rendelethez</w:t>
      </w:r>
    </w:p>
    <w:p w:rsidR="005378FD" w:rsidRPr="0001188D" w:rsidRDefault="005378FD" w:rsidP="00054864">
      <w:pPr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val="hu-HU" w:eastAsia="hu-HU"/>
        </w:rPr>
      </w:pPr>
    </w:p>
    <w:p w:rsidR="005378FD" w:rsidRPr="0001188D" w:rsidRDefault="005378FD" w:rsidP="00054864">
      <w:pPr>
        <w:textAlignment w:val="top"/>
        <w:outlineLvl w:val="1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hu-HU" w:eastAsia="hu-HU"/>
        </w:rPr>
      </w:pPr>
      <w:r w:rsidRPr="0001188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Ajánlati/részvételi felhívás</w:t>
      </w:r>
      <w:r w:rsidRPr="0001188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hu-HU" w:eastAsia="hu-HU"/>
        </w:rPr>
        <w:t xml:space="preserve"> </w:t>
      </w:r>
    </w:p>
    <w:p w:rsidR="00054864" w:rsidRPr="0001188D" w:rsidRDefault="00054864" w:rsidP="00054864">
      <w:pPr>
        <w:textAlignment w:val="top"/>
        <w:outlineLvl w:val="1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hu-HU" w:eastAsia="hu-HU"/>
        </w:rPr>
      </w:pPr>
    </w:p>
    <w:p w:rsidR="005378FD" w:rsidRPr="0001188D" w:rsidRDefault="005378FD" w:rsidP="00054864">
      <w:pPr>
        <w:textAlignment w:val="top"/>
        <w:outlineLvl w:val="1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hu-HU" w:eastAsia="hu-HU"/>
        </w:rPr>
      </w:pPr>
      <w:r w:rsidRPr="0001188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hu-HU" w:eastAsia="hu-HU"/>
        </w:rPr>
        <w:t xml:space="preserve">A </w:t>
      </w:r>
      <w:hyperlink r:id="rId7" w:history="1">
        <w:r w:rsidRPr="0001188D">
          <w:rPr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val="hu-HU" w:eastAsia="hu-HU"/>
          </w:rPr>
          <w:t>Kbt. 112. § (1) bekezdés b) pont</w:t>
        </w:r>
      </w:hyperlink>
      <w:r w:rsidRPr="0001188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hu-HU" w:eastAsia="hu-HU"/>
        </w:rPr>
        <w:t xml:space="preserve"> szerinti eljárások esetében.</w:t>
      </w:r>
    </w:p>
    <w:p w:rsidR="00054864" w:rsidRPr="0001188D" w:rsidRDefault="00054864" w:rsidP="00054864">
      <w:pPr>
        <w:textAlignment w:val="top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</w:pP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845"/>
        <w:gridCol w:w="1967"/>
        <w:gridCol w:w="129"/>
        <w:gridCol w:w="1791"/>
        <w:gridCol w:w="1387"/>
        <w:gridCol w:w="6"/>
      </w:tblGrid>
      <w:tr w:rsidR="005378FD" w:rsidRPr="0001188D" w:rsidTr="00633365">
        <w:trPr>
          <w:tblCellSpacing w:w="0" w:type="dxa"/>
        </w:trPr>
        <w:tc>
          <w:tcPr>
            <w:tcW w:w="8778" w:type="dxa"/>
            <w:gridSpan w:val="6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tblCellSpacing w:w="0" w:type="dxa"/>
        </w:trPr>
        <w:tc>
          <w:tcPr>
            <w:tcW w:w="8778" w:type="dxa"/>
            <w:gridSpan w:val="6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I. szakasz: Ajánlatkérő</w:t>
            </w:r>
          </w:p>
        </w:tc>
        <w:tc>
          <w:tcPr>
            <w:tcW w:w="0" w:type="auto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tblCellSpacing w:w="0" w:type="dxa"/>
        </w:trPr>
        <w:tc>
          <w:tcPr>
            <w:tcW w:w="8778" w:type="dxa"/>
            <w:gridSpan w:val="6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I.1) Név és címek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1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(jelölje meg az eljárásért felelős összes ajánlatkérőt)</w:t>
            </w:r>
          </w:p>
        </w:tc>
        <w:tc>
          <w:tcPr>
            <w:tcW w:w="0" w:type="auto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tblCellSpacing w:w="0" w:type="dxa"/>
        </w:trPr>
        <w:tc>
          <w:tcPr>
            <w:tcW w:w="5471" w:type="dxa"/>
            <w:gridSpan w:val="3"/>
            <w:vAlign w:val="center"/>
            <w:hideMark/>
          </w:tcPr>
          <w:p w:rsidR="005378FD" w:rsidRPr="0001188D" w:rsidRDefault="005378FD" w:rsidP="0015472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Hivatalos név: Magyar Bányászati és Földtani </w:t>
            </w:r>
            <w:r w:rsidR="001547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Szolgálat</w:t>
            </w:r>
          </w:p>
        </w:tc>
        <w:tc>
          <w:tcPr>
            <w:tcW w:w="3307" w:type="dxa"/>
            <w:gridSpan w:val="3"/>
            <w:vAlign w:val="center"/>
            <w:hideMark/>
          </w:tcPr>
          <w:p w:rsidR="005378FD" w:rsidRPr="0001188D" w:rsidRDefault="005378FD" w:rsidP="005378F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Nemzeti azonosítószám: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 AK15411</w:t>
            </w:r>
          </w:p>
        </w:tc>
        <w:tc>
          <w:tcPr>
            <w:tcW w:w="0" w:type="auto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Postai cím: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Columbus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u. 17-23.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A33533" w:rsidRPr="0001188D" w:rsidTr="00633365">
        <w:trPr>
          <w:tblCellSpacing w:w="0" w:type="dxa"/>
        </w:trPr>
        <w:tc>
          <w:tcPr>
            <w:tcW w:w="1659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Város: Budapest</w:t>
            </w:r>
          </w:p>
        </w:tc>
        <w:tc>
          <w:tcPr>
            <w:tcW w:w="1845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NUTS-kód: HU1</w:t>
            </w:r>
            <w:r w:rsidR="00020E29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01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Postai irányítószám: 1145</w:t>
            </w:r>
          </w:p>
        </w:tc>
        <w:tc>
          <w:tcPr>
            <w:tcW w:w="3178" w:type="dxa"/>
            <w:gridSpan w:val="2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Ország: Magyarország</w:t>
            </w:r>
          </w:p>
        </w:tc>
        <w:tc>
          <w:tcPr>
            <w:tcW w:w="0" w:type="auto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tblCellSpacing w:w="0" w:type="dxa"/>
        </w:trPr>
        <w:tc>
          <w:tcPr>
            <w:tcW w:w="5600" w:type="dxa"/>
            <w:gridSpan w:val="4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Kapcsolattartó személy: Lukucza György</w:t>
            </w:r>
          </w:p>
        </w:tc>
        <w:tc>
          <w:tcPr>
            <w:tcW w:w="3178" w:type="dxa"/>
            <w:gridSpan w:val="2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Telefon: </w:t>
            </w:r>
            <w:r w:rsidR="00615C83" w:rsidRPr="0001188D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>06 20 7725992</w:t>
            </w:r>
          </w:p>
        </w:tc>
        <w:tc>
          <w:tcPr>
            <w:tcW w:w="0" w:type="auto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tblCellSpacing w:w="0" w:type="dxa"/>
        </w:trPr>
        <w:tc>
          <w:tcPr>
            <w:tcW w:w="5600" w:type="dxa"/>
            <w:gridSpan w:val="4"/>
            <w:vAlign w:val="center"/>
            <w:hideMark/>
          </w:tcPr>
          <w:p w:rsidR="005378FD" w:rsidRPr="0001188D" w:rsidRDefault="005378FD" w:rsidP="0015472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E-mail</w:t>
            </w:r>
            <w:r w:rsidR="001547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: </w:t>
            </w:r>
            <w:r w:rsidR="00615C83" w:rsidRPr="0001188D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>lukucza</w:t>
            </w:r>
            <w:r w:rsidR="00154729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>.gyorgy</w:t>
            </w:r>
            <w:r w:rsidR="00615C83" w:rsidRPr="0001188D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>@mbf</w:t>
            </w:r>
            <w:r w:rsidR="00154729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>sz.gov.hu</w:t>
            </w:r>
          </w:p>
        </w:tc>
        <w:tc>
          <w:tcPr>
            <w:tcW w:w="3178" w:type="dxa"/>
            <w:gridSpan w:val="2"/>
            <w:vAlign w:val="center"/>
            <w:hideMark/>
          </w:tcPr>
          <w:p w:rsidR="00615C83" w:rsidRPr="0001188D" w:rsidRDefault="005378FD" w:rsidP="0061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Fax:</w:t>
            </w:r>
            <w:r w:rsidR="00615C83" w:rsidRPr="0001188D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 xml:space="preserve"> </w:t>
            </w:r>
            <w:r w:rsidR="00B158B4" w:rsidRPr="0001188D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>06 1 3012903</w:t>
            </w:r>
          </w:p>
          <w:p w:rsidR="005378FD" w:rsidRPr="0001188D" w:rsidRDefault="005378FD" w:rsidP="00615C8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15472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Internetcím(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ek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)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Az ajánlatkérő általános címe: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(URL)</w:t>
            </w:r>
            <w:r w:rsidR="00615C83"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 xml:space="preserve"> www.mbf</w:t>
            </w:r>
            <w:r w:rsidR="00154729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sz</w:t>
            </w:r>
            <w:r w:rsidR="00615C83"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.hu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A felhasználói oldal címe: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 xml:space="preserve">(URL) 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I.2) Közös közbeszerzés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□ A szerződés közös közbeszerzés formájában valósul meg.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o Meghatalmazott ajánlatkérő nélkül.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 xml:space="preserve">o Az I.1) pontban feltüntetett ajánlatkérők közül meghatalmazott ajánlatkérő: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(adja meg ajánlatkérő nevét)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o Ajánlatkérőnek minősülő meghatalmazott szervezet, mely az I.1) pontban nem került feltüntetésre: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(adja meg a szerződést nem kötő ajánlatkérőnek minősülő szervezet nevét, címét és azonosítószámát)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□ Több ország részvételével megvalósuló közös közbeszerzés.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A szerződést központi beszerző szerv ítéli oda.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4910DB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I.3) Kommunikáció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4910DB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E29AE" w:rsidRPr="007B3B2D" w:rsidRDefault="005E29AE" w:rsidP="00FD4A10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x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A közbeszerzési dokumentumok korlátozás nélkül, teljes körűen, közvetlenül és díjmentesen elérhetők a következő címen:</w:t>
            </w:r>
            <w:r w:rsidR="00AC74E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</w:t>
            </w:r>
            <w:bookmarkStart w:id="0" w:name="_GoBack"/>
            <w:r w:rsidR="00B66A5C" w:rsidRPr="007B3B2D">
              <w:rPr>
                <w:color w:val="auto"/>
              </w:rPr>
              <w:fldChar w:fldCharType="begin"/>
            </w:r>
            <w:r w:rsidR="00B66A5C" w:rsidRPr="007B3B2D">
              <w:rPr>
                <w:color w:val="auto"/>
              </w:rPr>
              <w:instrText xml:space="preserve"> HYPERLINK "http://www.mbfh.hu/home/html/index.asp?msid=1&amp;sid=0&amp;hkl=273&amp;lng=1" </w:instrText>
            </w:r>
            <w:r w:rsidR="00B66A5C" w:rsidRPr="007B3B2D">
              <w:rPr>
                <w:color w:val="auto"/>
              </w:rPr>
              <w:fldChar w:fldCharType="separate"/>
            </w:r>
            <w:r w:rsidR="00FD4A10" w:rsidRPr="007B3B2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</w:rPr>
              <w:t>http://www.mbfh.hu/home/html/index.asp?msid=1&amp;sid=0&amp;hkl=273&amp;lng=1</w:t>
            </w:r>
            <w:r w:rsidR="00B66A5C" w:rsidRPr="007B3B2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="00FD4A10" w:rsidRPr="007B3B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C74ED" w:rsidRPr="007B3B2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 xml:space="preserve"> </w:t>
            </w:r>
            <w:r w:rsidR="005378FD" w:rsidRPr="007B3B2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(URL)</w:t>
            </w:r>
            <w:r w:rsidR="001B6CEF" w:rsidRPr="007B3B2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 xml:space="preserve"> Földgáz energia beszerzése 201</w:t>
            </w:r>
            <w:r w:rsidR="000272CB" w:rsidRPr="007B3B2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8</w:t>
            </w:r>
            <w:r w:rsidR="001B6CEF" w:rsidRPr="007B3B2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 xml:space="preserve"> </w:t>
            </w:r>
            <w:r w:rsidR="001B6CEF" w:rsidRPr="007B3B2D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hu-HU" w:eastAsia="hu-HU"/>
              </w:rPr>
              <w:t>cím alatt</w:t>
            </w:r>
            <w:r w:rsidR="001B6CEF" w:rsidRPr="007B3B2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.</w:t>
            </w:r>
          </w:p>
          <w:p w:rsidR="005E29AE" w:rsidRPr="007B3B2D" w:rsidRDefault="005E29AE" w:rsidP="005E29A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7B3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A közbeszerzési dokumentumokat ajánlatkérő az érdeklődő gazdasági szereplő kapcsolattartójának e-mail címére is megküldi.</w:t>
            </w:r>
          </w:p>
          <w:bookmarkEnd w:id="0"/>
          <w:p w:rsidR="005378FD" w:rsidRPr="0001188D" w:rsidRDefault="005378FD" w:rsidP="005E29A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o A közbeszerzési dokumentumokhoz történő hozzáférés korlátozott. További információ a következő helyről érhető el: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(URL)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A05B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További információ a következő címen szerezhető be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</w:r>
            <w:r w:rsidR="00A05BE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x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a fent említett cím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 xml:space="preserve">o másik cím: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(adjon meg másik címet)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A05B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Az ajánlat vagy részvételi jelentkezés benyújtandó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 xml:space="preserve">□ elektronikus úton: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(URL)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r w:rsidR="00A05BE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x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a fent említett címre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 xml:space="preserve">o a következő címre: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(adjon meg másik címet)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□ Az elektronikus kommunikáció olyan eszközök és berendezések használatát igényli, amelyek nem általánosan hozzáférhetők. Ezen eszközök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lastRenderedPageBreak/>
              <w:t xml:space="preserve">és berendezések korlátozás nélkül, teljes körűen, közvetlenül és díjmentesen elérhetők a következő címen: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(URL)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I.4) Az ajánlatkérő típusa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tblCellSpacing w:w="0" w:type="dxa"/>
        </w:trPr>
        <w:tc>
          <w:tcPr>
            <w:tcW w:w="3504" w:type="dxa"/>
            <w:gridSpan w:val="2"/>
            <w:vAlign w:val="center"/>
            <w:hideMark/>
          </w:tcPr>
          <w:p w:rsidR="005378FD" w:rsidRPr="0001188D" w:rsidRDefault="00A05BE8" w:rsidP="00A05B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x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Központi szintű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Regionális/helyi szintű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Közjogi szervezet</w:t>
            </w:r>
          </w:p>
        </w:tc>
        <w:tc>
          <w:tcPr>
            <w:tcW w:w="5274" w:type="dxa"/>
            <w:gridSpan w:val="4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□ Közszolgáltató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Támogatott szervezet [</w:t>
            </w:r>
            <w:hyperlink r:id="rId8" w:history="1">
              <w:r w:rsidRPr="0001188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hu-HU" w:eastAsia="hu-HU"/>
                </w:rPr>
                <w:t>Kbt. 5. § (2)-(3) bekezdés</w:t>
              </w:r>
            </w:hyperlink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]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Egyéb:</w:t>
            </w:r>
          </w:p>
        </w:tc>
        <w:tc>
          <w:tcPr>
            <w:tcW w:w="0" w:type="auto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 xml:space="preserve">I.5) Fő tevékenység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(klasszikus ajánlatkérők esetében)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tblCellSpacing w:w="0" w:type="dxa"/>
        </w:trPr>
        <w:tc>
          <w:tcPr>
            <w:tcW w:w="3504" w:type="dxa"/>
            <w:gridSpan w:val="2"/>
            <w:vAlign w:val="center"/>
            <w:hideMark/>
          </w:tcPr>
          <w:p w:rsidR="005378FD" w:rsidRPr="0001188D" w:rsidRDefault="00A05BE8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x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Általános közszolgáltatások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Honvédelem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Közrend és biztonság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Környezetvédelem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Gazdasági és pénzügyek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Egészségügy</w:t>
            </w:r>
          </w:p>
        </w:tc>
        <w:tc>
          <w:tcPr>
            <w:tcW w:w="5274" w:type="dxa"/>
            <w:gridSpan w:val="4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□ Lakásszolgáltatás és közösségi rekreáció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Szociális védelem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 xml:space="preserve">□ Szabadidő, kultúra és vallás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Oktatás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Egyéb tevékenység:</w:t>
            </w:r>
          </w:p>
        </w:tc>
        <w:tc>
          <w:tcPr>
            <w:tcW w:w="0" w:type="auto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 xml:space="preserve">I.6) Fő tevékenység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(közszolgáltató ajánlatkérők esetében)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tblCellSpacing w:w="0" w:type="dxa"/>
        </w:trPr>
        <w:tc>
          <w:tcPr>
            <w:tcW w:w="3504" w:type="dxa"/>
            <w:gridSpan w:val="2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□ Gáz- és hőenergia termelése, szállítása és elosztása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Villamos energia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Földgáz és kőolaj kitermelése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Szén és más szilárd tüzelőanyag feltárása és kitermelése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Víz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Postai szolgáltatások</w:t>
            </w:r>
          </w:p>
        </w:tc>
        <w:tc>
          <w:tcPr>
            <w:tcW w:w="5274" w:type="dxa"/>
            <w:gridSpan w:val="4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□ Vasúti szolgáltatások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Városi vasúti, villamos-, trolibusz- és autóbusz-szolgáltatások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Kikötői tevékenységek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Repülőtéri tevékenységek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Egyéb tevékenység:</w:t>
            </w:r>
          </w:p>
        </w:tc>
        <w:tc>
          <w:tcPr>
            <w:tcW w:w="0" w:type="auto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II. szakasz: Tárgy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II.1) Meghatározás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tblCellSpacing w:w="0" w:type="dxa"/>
        </w:trPr>
        <w:tc>
          <w:tcPr>
            <w:tcW w:w="5471" w:type="dxa"/>
            <w:gridSpan w:val="3"/>
            <w:vAlign w:val="center"/>
            <w:hideMark/>
          </w:tcPr>
          <w:p w:rsidR="005378FD" w:rsidRPr="0001188D" w:rsidRDefault="005378FD" w:rsidP="00772FA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II.1.1) Elnevezés:</w:t>
            </w:r>
            <w:r w:rsidR="00A05BE8"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 xml:space="preserve"> </w:t>
            </w:r>
            <w:r w:rsidR="00772FA8"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hu-HU" w:eastAsia="hu-HU"/>
              </w:rPr>
              <w:t>Vezetékes földgáz energia beszerzése</w:t>
            </w:r>
          </w:p>
        </w:tc>
        <w:tc>
          <w:tcPr>
            <w:tcW w:w="3307" w:type="dxa"/>
            <w:gridSpan w:val="3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Hivatkozási szám: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4910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 xml:space="preserve">II.1.2) Fő CPV-kód: </w:t>
            </w:r>
            <w:r w:rsidR="004910DB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09123000-</w:t>
            </w:r>
            <w:proofErr w:type="gramStart"/>
            <w:r w:rsidR="004910DB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7  K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iegészítő</w:t>
            </w:r>
            <w:proofErr w:type="gram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CPV-kód: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1 2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[ ][ ][ ][ ]</w:t>
            </w:r>
            <w:r w:rsidR="004910DB"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4910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 xml:space="preserve">II.1.3) A szerződés típusa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o Építési beruházás </w:t>
            </w:r>
            <w:r w:rsidR="004910DB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x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hu-HU" w:eastAsia="hu-HU"/>
              </w:rPr>
              <w:t xml:space="preserve">Árubeszerzés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o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hu-HU" w:eastAsia="hu-HU"/>
              </w:rPr>
              <w:t>Szolgáltatásmegrendelés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772FA8" w:rsidRPr="00154729" w:rsidRDefault="005378FD" w:rsidP="00772FA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II.1.4) A közbeszerzés rövid ismertetése:</w:t>
            </w:r>
            <w:r w:rsidR="00772FA8"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hu-HU" w:eastAsia="hu-HU"/>
              </w:rPr>
              <w:t xml:space="preserve"> </w:t>
            </w:r>
            <w:r w:rsidR="001F2E2C"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hu-HU" w:eastAsia="hu-HU"/>
              </w:rPr>
              <w:t>V</w:t>
            </w:r>
            <w:r w:rsidR="00772FA8"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hu-HU" w:eastAsia="hu-HU"/>
              </w:rPr>
              <w:t>ezetékes f</w:t>
            </w:r>
            <w:r w:rsidR="004910DB"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hu-HU" w:eastAsia="hu-HU"/>
              </w:rPr>
              <w:t>öldgáz</w:t>
            </w:r>
            <w:r w:rsidR="00772FA8"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hu-HU" w:eastAsia="hu-HU"/>
              </w:rPr>
              <w:t xml:space="preserve"> </w:t>
            </w:r>
            <w:r w:rsidR="004910DB"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hu-HU" w:eastAsia="hu-HU"/>
              </w:rPr>
              <w:t>energia beszerzése</w:t>
            </w:r>
            <w:r w:rsidR="00772FA8"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="00772FA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teljes</w:t>
            </w:r>
            <w:proofErr w:type="spellEnd"/>
            <w:r w:rsidR="00772FA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72FA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ellátás</w:t>
            </w:r>
            <w:proofErr w:type="spellEnd"/>
            <w:r w:rsidR="00772FA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72FA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alapú</w:t>
            </w:r>
            <w:proofErr w:type="spellEnd"/>
            <w:r w:rsidR="00772FA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72FA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földgáz</w:t>
            </w:r>
            <w:proofErr w:type="spellEnd"/>
            <w:r w:rsidR="00772FA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72FA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adás-vételi</w:t>
            </w:r>
            <w:proofErr w:type="spellEnd"/>
            <w:r w:rsidR="00772FA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72FA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szerződés</w:t>
            </w:r>
            <w:proofErr w:type="spellEnd"/>
            <w:r w:rsidR="00772FA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72FA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keretében</w:t>
            </w:r>
            <w:proofErr w:type="spellEnd"/>
            <w:r w:rsidR="00772FA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r w:rsidR="00772FA8"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201</w:t>
            </w:r>
            <w:r w:rsidR="00154729"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8</w:t>
            </w:r>
            <w:r w:rsidR="00772FA8"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.</w:t>
            </w:r>
            <w:r w:rsidR="00A661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05.01.</w:t>
            </w:r>
            <w:r w:rsidR="00772FA8"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CET 06:00-201</w:t>
            </w:r>
            <w:r w:rsidR="00154729"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9</w:t>
            </w:r>
            <w:r w:rsidR="00772FA8"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.</w:t>
            </w:r>
            <w:r w:rsidR="002D05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05.</w:t>
            </w:r>
            <w:r w:rsidR="00772FA8"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01 CET 06:00 </w:t>
            </w:r>
            <w:proofErr w:type="spellStart"/>
            <w:r w:rsidR="00772FA8"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közötti</w:t>
            </w:r>
            <w:proofErr w:type="spellEnd"/>
            <w:r w:rsidR="00772FA8"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72FA8"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időszakra</w:t>
            </w:r>
            <w:proofErr w:type="spellEnd"/>
            <w:r w:rsidR="00772FA8"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. </w:t>
            </w:r>
          </w:p>
          <w:p w:rsidR="00DB3C3D" w:rsidRPr="0001188D" w:rsidRDefault="00DB3C3D" w:rsidP="00772FA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293AFD" w:rsidRPr="0001188D" w:rsidRDefault="005378FD" w:rsidP="004910DB">
            <w:pPr>
              <w:spacing w:line="302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II.1.5) Becsült érték: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</w:t>
            </w:r>
            <w:proofErr w:type="gram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[</w:t>
            </w:r>
            <w:r w:rsidR="006942EF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]</w:t>
            </w:r>
            <w:proofErr w:type="gram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Pénznem: [</w:t>
            </w:r>
            <w:r w:rsidR="006942EF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][ ][ ]</w:t>
            </w:r>
          </w:p>
          <w:p w:rsidR="005378FD" w:rsidRPr="0001188D" w:rsidRDefault="005378FD" w:rsidP="00293AFD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(ÁFA nélkül; keretmegállapodás vagy dinamikus beszerzési rendszer esetében a szerződéseknek a keretmegállapodás vagy dinamikus beszerzési rendszer teljes időtartamára vonatkozó becsült összértéke)</w:t>
            </w:r>
          </w:p>
          <w:p w:rsidR="00A60231" w:rsidRPr="0001188D" w:rsidRDefault="00A60231" w:rsidP="00293AFD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4910DB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DB3C3D" w:rsidRPr="0001188D" w:rsidRDefault="005378FD" w:rsidP="00F4446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II.1.6) Részekre bontás</w:t>
            </w:r>
          </w:p>
          <w:p w:rsidR="005378FD" w:rsidRPr="0001188D" w:rsidRDefault="004910DB" w:rsidP="00772FA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o 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Részajánlat tételére lehetőség van.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Ajánlatok benyújthatók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12</w:t>
            </w:r>
            <w:r w:rsidR="00772FA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o 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valamennyi részre o legfeljebb a következő számú részre: </w:t>
            </w:r>
            <w:proofErr w:type="gramStart"/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[ ]</w:t>
            </w:r>
            <w:proofErr w:type="gramEnd"/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o csak egy részre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o 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Az egy ajánlattevőnek odaítélhető részek maximális száma: [</w:t>
            </w:r>
            <w:r w:rsidR="00F44461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2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]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Az ajánlatkérő fenntartja a jogot arra, hogy a következő részek vagy részcsoportok kombinációjával ítéljen oda szerződéseket: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x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Részajánlat tételének lehetősége nem biztosított. </w:t>
            </w:r>
            <w:r w:rsidR="005378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A részajánlat tételének kizárásának indoka(i):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</w:t>
            </w:r>
          </w:p>
          <w:p w:rsidR="00A60231" w:rsidRPr="0001188D" w:rsidRDefault="00A60231" w:rsidP="00772FA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lastRenderedPageBreak/>
              <w:t>II.2) A közbeszerzés ismertetése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1</w:t>
            </w:r>
          </w:p>
          <w:p w:rsidR="00BB2441" w:rsidRPr="0001188D" w:rsidRDefault="006942EF" w:rsidP="006942E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Földgázenergia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szállítása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ajánlatkérő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részére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r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201</w:t>
            </w:r>
            <w:r w:rsidR="00154729"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8</w:t>
            </w:r>
            <w:r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.</w:t>
            </w:r>
            <w:r w:rsidR="000272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05.01.</w:t>
            </w:r>
            <w:r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06:00 CET - 201</w:t>
            </w:r>
            <w:r w:rsidR="00154729"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9</w:t>
            </w:r>
            <w:r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.</w:t>
            </w:r>
            <w:r w:rsidR="000272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05.01.</w:t>
            </w:r>
            <w:r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06:00 CET </w:t>
            </w:r>
            <w:proofErr w:type="spellStart"/>
            <w:r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időszakra</w:t>
            </w:r>
            <w:proofErr w:type="spellEnd"/>
            <w:r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vonatkozóan</w:t>
            </w:r>
            <w:proofErr w:type="spellEnd"/>
            <w:r w:rsidRPr="00154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,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teljes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ellátás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alapú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földgázenergia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kereskedelmi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szerződés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keretében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összesen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r w:rsidR="00BB2441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22</w:t>
            </w:r>
            <w:r w:rsidR="00027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7.848</w:t>
            </w:r>
            <w:r w:rsidR="00141CB4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m3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mennyiségű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földgáz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energia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beszerzése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céljából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.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  <w:t xml:space="preserve">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meghatározott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mennyiségeket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gáztechnikai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normál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állapotra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számolva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kell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értelmezni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(gnm3).</w:t>
            </w:r>
          </w:p>
          <w:p w:rsidR="006942EF" w:rsidRPr="0001188D" w:rsidRDefault="006942EF" w:rsidP="006942E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árat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nettó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értékben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szükséges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meghatározni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amely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nem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tartalmazza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jogszabály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szerint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fizetett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díjakat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energia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adót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MSZKSZ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díjat</w:t>
            </w:r>
            <w:proofErr w:type="spellEnd"/>
            <w:r w:rsidR="00122B3E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22B3E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stb</w:t>
            </w:r>
            <w:proofErr w:type="spellEnd"/>
            <w:r w:rsidR="00122B3E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.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ÁFA-t.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Értékelési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szempont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Ajánlatkérő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Kbt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76. § (2)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a)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pontja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szerint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értékeli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ajánlatokat</w:t>
            </w:r>
            <w:proofErr w:type="spellEnd"/>
            <w:r w:rsidR="00BB2441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,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hivatkozva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Kbt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. 76.</w:t>
            </w:r>
            <w:r w:rsidR="001F2E2C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§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(5)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bekezdésére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tekintve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hogy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</w:t>
            </w:r>
            <w:r w:rsidR="00974B3E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74B3E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földgáz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jogszabályokban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meghatározott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körülhatárolható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szabványtermék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minőségi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szempontok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szerint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nem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differenciálható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</w:t>
            </w:r>
          </w:p>
          <w:p w:rsidR="00D120FD" w:rsidRPr="0001188D" w:rsidRDefault="00D120FD" w:rsidP="00234B3A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974B3E" w:rsidRPr="0001188D" w:rsidTr="00633365">
        <w:trPr>
          <w:tblCellSpacing w:w="0" w:type="dxa"/>
        </w:trPr>
        <w:tc>
          <w:tcPr>
            <w:tcW w:w="5471" w:type="dxa"/>
            <w:gridSpan w:val="3"/>
            <w:vAlign w:val="center"/>
            <w:hideMark/>
          </w:tcPr>
          <w:p w:rsidR="009932E3" w:rsidRPr="0001188D" w:rsidRDefault="005378FD" w:rsidP="005378FD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II.2.1) Elnevezés: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  <w:r w:rsidR="00234B3A" w:rsidRPr="0001188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hu-HU"/>
              </w:rPr>
              <w:t xml:space="preserve"> </w:t>
            </w:r>
          </w:p>
          <w:p w:rsidR="009932E3" w:rsidRPr="0001188D" w:rsidRDefault="00974B3E" w:rsidP="00974B3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Földgázenergia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kereskedelmi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szerződés</w:t>
            </w:r>
            <w:proofErr w:type="spellEnd"/>
          </w:p>
        </w:tc>
        <w:tc>
          <w:tcPr>
            <w:tcW w:w="3307" w:type="dxa"/>
            <w:gridSpan w:val="3"/>
            <w:vAlign w:val="center"/>
            <w:hideMark/>
          </w:tcPr>
          <w:p w:rsidR="009932E3" w:rsidRPr="0001188D" w:rsidRDefault="009932E3" w:rsidP="00C46961">
            <w:pPr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</w:pPr>
          </w:p>
          <w:p w:rsidR="009932E3" w:rsidRPr="0001188D" w:rsidRDefault="009932E3" w:rsidP="00C469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FD4A10" w:rsidRPr="0001188D" w:rsidRDefault="00FD4A10" w:rsidP="00974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</w:pPr>
          </w:p>
          <w:p w:rsidR="005378FD" w:rsidRPr="0001188D" w:rsidRDefault="005378FD" w:rsidP="00974B3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II.2.2) További CPV-kód(ok):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Fő CPV-kód: </w:t>
            </w:r>
            <w:r w:rsidR="00974B3E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09123000-7    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Kiegészítő CPV-kód: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1 2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</w:t>
            </w:r>
            <w:proofErr w:type="gram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[ ]</w:t>
            </w:r>
            <w:proofErr w:type="gram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[ ][ ][ ]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FD4A10" w:rsidRPr="0001188D" w:rsidRDefault="00FD4A10" w:rsidP="009932E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</w:pPr>
          </w:p>
          <w:p w:rsidR="00DB3C3D" w:rsidRPr="0001188D" w:rsidRDefault="005378FD" w:rsidP="009932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II.2.3) A teljesítés helye: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NUTS-kód: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1</w:t>
            </w:r>
            <w:r w:rsidR="00987D2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[HU10</w:t>
            </w:r>
            <w:r w:rsidR="009932E3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1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] [</w:t>
            </w:r>
            <w:r w:rsidR="00401CC3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HU23207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] [</w:t>
            </w:r>
            <w:r w:rsidR="00401CC3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HU21303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] [</w:t>
            </w:r>
            <w:r w:rsidR="00401CC3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HU10214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] </w:t>
            </w:r>
            <w:proofErr w:type="gram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[ ]</w:t>
            </w:r>
            <w:proofErr w:type="gram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A teljesítés helye:</w:t>
            </w:r>
            <w:r w:rsidR="009932E3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</w:t>
            </w:r>
          </w:p>
          <w:p w:rsidR="00974B3E" w:rsidRPr="0001188D" w:rsidRDefault="00974B3E" w:rsidP="00974B3E">
            <w:pPr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Budapest XIV.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kerület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, Columbus u. 17-23.</w:t>
            </w:r>
          </w:p>
          <w:p w:rsidR="00210F44" w:rsidRPr="0001188D" w:rsidRDefault="009932E3" w:rsidP="00974B3E">
            <w:pPr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Budapest XIV.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kerület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Stefánia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út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14. </w:t>
            </w:r>
          </w:p>
          <w:p w:rsidR="005378FD" w:rsidRPr="0001188D" w:rsidRDefault="009932E3" w:rsidP="00FD4A10">
            <w:pPr>
              <w:pStyle w:val="Listaszerbekezds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Budapest XI.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kerület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Homonna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u. 9.</w:t>
            </w:r>
          </w:p>
          <w:p w:rsidR="001F2E2C" w:rsidRPr="0001188D" w:rsidRDefault="001F2E2C" w:rsidP="001F2E2C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Budapest, XIV.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kerület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Stefánia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út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14.</w:t>
            </w:r>
          </w:p>
          <w:p w:rsidR="001F2E2C" w:rsidRPr="0001188D" w:rsidRDefault="001F2E2C" w:rsidP="001F2E2C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Budapest XI.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kerület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Homonna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u. 9</w:t>
            </w:r>
          </w:p>
          <w:p w:rsidR="001F2E2C" w:rsidRPr="0001188D" w:rsidRDefault="001F2E2C" w:rsidP="001F2E2C">
            <w:pPr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</w:pPr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Budapest XIV.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>kerület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>Tallér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 u. 1.</w:t>
            </w:r>
          </w:p>
          <w:p w:rsidR="001F2E2C" w:rsidRPr="0001188D" w:rsidRDefault="001F2E2C" w:rsidP="001F2E2C">
            <w:pPr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</w:pPr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Budapest XIV.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>kerület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>Torontál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 u.</w:t>
            </w:r>
          </w:p>
          <w:p w:rsidR="001F2E2C" w:rsidRPr="0001188D" w:rsidRDefault="001F2E2C" w:rsidP="001F2E2C">
            <w:pPr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</w:pPr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Budapest XIV.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>kerület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>Lőcsei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 u. 59.</w:t>
            </w:r>
          </w:p>
          <w:p w:rsidR="001F2E2C" w:rsidRPr="0001188D" w:rsidRDefault="001F2E2C" w:rsidP="001F2E2C">
            <w:pPr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</w:pPr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Budapest VII.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>kerület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>Hársfa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 u. 40.</w:t>
            </w:r>
          </w:p>
          <w:p w:rsidR="001F2E2C" w:rsidRPr="0001188D" w:rsidRDefault="00BB2441" w:rsidP="001F2E2C">
            <w:pPr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</w:pPr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8609 </w:t>
            </w:r>
            <w:proofErr w:type="spellStart"/>
            <w:r w:rsidR="001F2E2C"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>Balatonszéplak</w:t>
            </w:r>
            <w:proofErr w:type="spellEnd"/>
            <w:r w:rsidR="001F2E2C"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, Liszt Ferenc </w:t>
            </w:r>
            <w:proofErr w:type="spellStart"/>
            <w:r w:rsidR="001F2E2C"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>utca</w:t>
            </w:r>
            <w:proofErr w:type="spellEnd"/>
            <w:r w:rsidR="001F2E2C"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 4.</w:t>
            </w:r>
          </w:p>
          <w:p w:rsidR="001F2E2C" w:rsidRPr="0001188D" w:rsidRDefault="00BB2441" w:rsidP="001F2E2C">
            <w:pPr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</w:pPr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8237 </w:t>
            </w:r>
            <w:proofErr w:type="spellStart"/>
            <w:r w:rsidR="001F2E2C"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>Tihany</w:t>
            </w:r>
            <w:proofErr w:type="spellEnd"/>
            <w:r w:rsidR="001F2E2C"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, Kossuth Lajos </w:t>
            </w:r>
            <w:proofErr w:type="spellStart"/>
            <w:r w:rsidR="001F2E2C"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>utca</w:t>
            </w:r>
            <w:proofErr w:type="spellEnd"/>
            <w:r w:rsidR="001F2E2C"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 91-93.</w:t>
            </w:r>
          </w:p>
          <w:p w:rsidR="001F2E2C" w:rsidRPr="0001188D" w:rsidRDefault="00BB2441" w:rsidP="001F2E2C">
            <w:pPr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</w:pPr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2000 </w:t>
            </w:r>
            <w:proofErr w:type="spellStart"/>
            <w:r w:rsidR="001F2E2C"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>Szentendre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>Papsziget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>utca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u-HU"/>
              </w:rPr>
              <w:t xml:space="preserve"> 1.</w:t>
            </w:r>
          </w:p>
          <w:p w:rsidR="00BB2441" w:rsidRPr="0001188D" w:rsidRDefault="00BB2441" w:rsidP="00FD4A10">
            <w:pPr>
              <w:pStyle w:val="Listaszerbekezds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974B3E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F24913" w:rsidRPr="0001188D" w:rsidRDefault="005378FD" w:rsidP="00A14851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II.2.4) A közbeszerzés mennyisége:</w:t>
            </w:r>
            <w:r w:rsidR="00C46961"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 xml:space="preserve"> 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(az építési beruházás, árubeszerzés vagy szolgáltatás jellege és mennyisége, illetve az igények és követelmények meghatározása)</w:t>
            </w:r>
            <w:r w:rsidR="00F24913"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 xml:space="preserve"> </w:t>
            </w:r>
          </w:p>
          <w:p w:rsidR="00BB2441" w:rsidRPr="0001188D" w:rsidRDefault="00122B3E" w:rsidP="00122B3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Földgáz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energia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szállítása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ajánlatkérő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részére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201</w:t>
            </w:r>
            <w:r w:rsidR="001547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8.</w:t>
            </w:r>
            <w:r w:rsidR="00027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05.01.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06:00 CET - 201</w:t>
            </w:r>
            <w:r w:rsidR="001547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9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.</w:t>
            </w:r>
            <w:r w:rsidR="00027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05.01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06:00 CET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időszakra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vonatkozóan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teljes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ellátás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alapú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földgáz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energia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kereskedelmi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szerződés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keretében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összesen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r w:rsidR="000272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227.848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m3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mennyiségű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földgáz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energia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beszerzése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céljából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</w:t>
            </w:r>
          </w:p>
          <w:p w:rsidR="00BB2441" w:rsidRPr="0001188D" w:rsidRDefault="00BB2441" w:rsidP="00791A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154729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II.2.5) Értékelési szempontok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o Az alábbi értékelési szempontok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</w:r>
            <w:r w:rsidR="00974B3E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o </w:t>
            </w:r>
            <w:r w:rsidR="00A14851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Minőségi szempont - Megnevezés: Szakmai felkészültség / </w:t>
            </w:r>
            <w:proofErr w:type="gramStart"/>
            <w:r w:rsidR="00A14851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Súlyszám:  </w:t>
            </w:r>
            <w:r w:rsidR="00A14851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lastRenderedPageBreak/>
              <w:t>Költség</w:t>
            </w:r>
            <w:proofErr w:type="gramEnd"/>
            <w:r w:rsidR="00A14851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szempont - Megnevezés: / Súlyszám:</w:t>
            </w:r>
            <w:r w:rsidR="00A14851"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br/>
            </w:r>
            <w:r w:rsidR="00A14851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x Ár szempont - Megnevezés: Ellenszolgáltatás/ Súlyszám: 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791AD9" w:rsidRPr="0001188D" w:rsidRDefault="00791AD9" w:rsidP="00791A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Értékelési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szempont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Ajánlatkérő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Kbt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76. § (2)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a)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pontja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szerint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értékeli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ajánlatokat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.</w:t>
            </w:r>
          </w:p>
          <w:p w:rsidR="00791AD9" w:rsidRPr="0001188D" w:rsidRDefault="00791AD9" w:rsidP="00791A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Ajánlatkérő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igényeinek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beszerzés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tárgyaként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konkrétan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meghatározott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minőségi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műszaki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követelményeknek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megfelelő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áru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felel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meg,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ezen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felül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gazdaságilag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legelőnyösebb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kiválasztását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csak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legalacsonyabb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ár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értékelése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szolgálja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tekintve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hogy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áru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jogszabályokban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meghatározott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körülhatárolható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szabványtermék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minőségi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szempontok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szerint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nem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differenciálható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.</w:t>
            </w:r>
          </w:p>
          <w:p w:rsidR="00791AD9" w:rsidRPr="0001188D" w:rsidRDefault="00791AD9" w:rsidP="00444739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hu-HU" w:eastAsia="hu-HU"/>
              </w:rPr>
            </w:pPr>
          </w:p>
          <w:p w:rsidR="005378FD" w:rsidRPr="0001188D" w:rsidRDefault="005378FD" w:rsidP="0044473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II.2.6) Becsült érték: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Érték Áfa nélkül: [] Pénznem: [</w:t>
            </w:r>
            <w:proofErr w:type="gramStart"/>
            <w:r w:rsidR="00DB38B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HUF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]</w:t>
            </w:r>
            <w:proofErr w:type="gram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[ ][ ]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(keretmegállapodás vagy dinamikus beszerzési rendszer esetében ennek a résznek a keretmegállapodás vagy dinamikus beszerzési rendszer teljes időtartamára vonatkozó becsült összértéke)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FD4A10" w:rsidRPr="0001188D" w:rsidRDefault="00FD4A10" w:rsidP="00974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</w:pPr>
          </w:p>
          <w:p w:rsidR="005378FD" w:rsidRPr="0001188D" w:rsidRDefault="005378FD" w:rsidP="00974B3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II.2.7) A szerződés, keretmegállapodás vagy dinamikus beszerzési rendszer időtartama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Időtartam hónapban: [</w:t>
            </w:r>
            <w:proofErr w:type="gramStart"/>
            <w:r w:rsidR="00DB38B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12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]</w:t>
            </w:r>
            <w:proofErr w:type="gram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vagy napban: [ ]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 xml:space="preserve">vagy Kezdés: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éééé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/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hh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/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nn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 xml:space="preserve">)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/ Befejezés: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éééé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/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hh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/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nn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)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A szerződés meghosszabbítható </w:t>
            </w:r>
            <w:r w:rsidR="00D120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x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igen o nem A meghosszabbítás leírása:</w:t>
            </w:r>
            <w:r w:rsidR="00D120FD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</w:t>
            </w:r>
            <w:r w:rsidR="0068282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az előírásoknak és a szerződésnek megfelelően történő teljesítés esetén egy alkalommal 12 hónappal a szerződés változatlan feltételekkel meghossz</w:t>
            </w:r>
            <w:r w:rsidR="00974B3E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a</w:t>
            </w:r>
            <w:r w:rsidR="0068282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bbítható.</w:t>
            </w:r>
          </w:p>
          <w:p w:rsidR="00FD4A10" w:rsidRPr="0001188D" w:rsidRDefault="00FD4A10" w:rsidP="00974B3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II.2.8) Az ajánlattételre vagy részvételre felhívandó gazdasági szereplők számának korlátozására vonatkozó információ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(nyílt eljárás kivételével)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A gazdasági szereplők tervezett száma (keretszáma): </w:t>
            </w:r>
            <w:proofErr w:type="gram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[ ]</w:t>
            </w:r>
            <w:proofErr w:type="gram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vagy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Tervezett minimum: [ ] / Maximális szám: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[ ]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A jelentkezők számának korlátozására vonatkozó objektív szempontok:</w:t>
            </w:r>
          </w:p>
          <w:p w:rsidR="00FD4A10" w:rsidRPr="0001188D" w:rsidRDefault="00FD4A10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DB38B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II.2.9) Változatokra (alternatív ajánlatokra) vonatkozó információk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Elfogadhatók változatok (alternatív ajánlatok) o igen </w:t>
            </w:r>
            <w:r w:rsidR="00DB38B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x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nem</w:t>
            </w:r>
          </w:p>
          <w:p w:rsidR="00FD4A10" w:rsidRPr="0001188D" w:rsidRDefault="00FD4A10" w:rsidP="00DB38B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DB38B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II.2.10) Opciókra vonatkozó információ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Opciók o igen </w:t>
            </w:r>
            <w:r w:rsidR="00DB38B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x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nem Opciók leírása:</w:t>
            </w:r>
          </w:p>
          <w:p w:rsidR="00FD4A10" w:rsidRPr="0001188D" w:rsidRDefault="00FD4A10" w:rsidP="00DB38B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II.2.11) Információ az elektronikus katalógusokról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□ Az ajánlatokat elektronikus katalógus formájában kell benyújtani, vagy azoknak elektronikus katalógust kell tartalmazniuk</w:t>
            </w:r>
          </w:p>
          <w:p w:rsidR="00FD4A10" w:rsidRPr="0001188D" w:rsidRDefault="00FD4A10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DB38B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II.2.12) Európai uniós alapokra vonatkozó információk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A közbeszerzés európai uniós alapokból finanszírozott projekttel és/vagy programmal kapcsolatos o igen </w:t>
            </w:r>
            <w:r w:rsidR="00DB38B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x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nem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Projekt száma vagy hivatkozási száma:</w:t>
            </w:r>
          </w:p>
          <w:p w:rsidR="00FD4A10" w:rsidRPr="0001188D" w:rsidRDefault="00FD4A10" w:rsidP="00DB38B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II.2.13) További információ</w:t>
            </w:r>
          </w:p>
          <w:p w:rsidR="00FD4A10" w:rsidRPr="0001188D" w:rsidRDefault="00FD4A10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III. szakasz: Jogi, gazdasági, pénzügyi és műszaki információk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5 6 19</w:t>
            </w:r>
          </w:p>
          <w:p w:rsidR="00FD4A10" w:rsidRPr="0001188D" w:rsidRDefault="00FD4A10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III.1) Részvételi feltételek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E6C37" w:rsidRPr="0001188D" w:rsidRDefault="0050408E" w:rsidP="00BB2441">
            <w:pPr>
              <w:pStyle w:val="cf0"/>
              <w:spacing w:before="0" w:beforeAutospacing="0" w:after="0" w:afterAutospacing="0"/>
              <w:textAlignment w:val="top"/>
            </w:pPr>
            <w:r w:rsidRPr="0001188D">
              <w:t>Nem lehet ajánlattevő, alvállalkozó, és nem vehet részt az alkalmasság igazolásában olyan gazdasági szereplő, aki a Kbt. 62. § (1) - (2) bekezdésében meghatározott kizáró okok hatálya alatt áll.</w:t>
            </w:r>
            <w:r w:rsidRPr="0001188D">
              <w:br/>
              <w:t>Az igazolási módok felsorolása és rövid leírása:</w:t>
            </w:r>
            <w:r w:rsidRPr="0001188D">
              <w:br/>
              <w:t>Igazolási mód: a 321/2015</w:t>
            </w:r>
            <w:r w:rsidR="00921005" w:rsidRPr="0001188D">
              <w:t>.</w:t>
            </w:r>
            <w:r w:rsidRPr="0001188D">
              <w:t xml:space="preserve"> (X. 30.) Korm. rendelet 2</w:t>
            </w:r>
            <w:r w:rsidR="00C1242A" w:rsidRPr="0001188D">
              <w:t>.</w:t>
            </w:r>
            <w:r w:rsidRPr="0001188D">
              <w:t>-16. §-</w:t>
            </w:r>
            <w:proofErr w:type="spellStart"/>
            <w:r w:rsidRPr="0001188D">
              <w:t>ai</w:t>
            </w:r>
            <w:proofErr w:type="spellEnd"/>
            <w:r w:rsidRPr="0001188D">
              <w:t xml:space="preserve"> szerint.</w:t>
            </w:r>
            <w:r w:rsidRPr="0001188D">
              <w:br/>
              <w:t>Ajánlattevőnek a Kbt. 67. § (4) bekezdése szerint nyilatkoznia kell, hogy nem vesz igénybe a</w:t>
            </w:r>
            <w:r w:rsidR="00921005" w:rsidRPr="0001188D">
              <w:t xml:space="preserve"> Kbt. </w:t>
            </w:r>
            <w:r w:rsidRPr="0001188D">
              <w:t>62. § (1) - (2) bekezdése hatálya alá eső alvállalkozót, valamint az általa alkalmasságának igazolására igénybe vett más szervezet nem tartozik ugyanezen kizáró okok hatálya alá.</w:t>
            </w:r>
            <w:r w:rsidRPr="0001188D">
              <w:br/>
              <w:t>A kizáró okokra vonatkozó nyilatkozat(ok), egyéb igazolás(ok) keltezése nem lehet a felhívás feladása időpontjánál korábbi.</w:t>
            </w:r>
            <w:r w:rsidRPr="0001188D">
              <w:br/>
              <w:t xml:space="preserve">Ajánlattevő az alkalmasság igazolása során más szervezet kapacitására támaszkodhat a Kbt. 65. § (7) bekezdése szerint. </w:t>
            </w:r>
            <w:r w:rsidR="00C1242A" w:rsidRPr="0001188D">
              <w:t>Ha</w:t>
            </w:r>
            <w:r w:rsidRPr="0001188D">
              <w:t xml:space="preserve"> az ajánlattevő a felhívásban vagy a dokumentációban előírt igazolás helyett a Kbt. 69. § (11) bekezdése szerint kíván tényt vagy adatot igazolni, abban az esetben az ajánlattevő nyilatkozatban köteles megadni, hogy melyik tényt vagy adatot kívánja a Kbt. 69. § (11) bekezdése szerint igazolni, és hogy mi az e tényt vagy adatot tartalmazó ingyenes, a közbeszerzési eljárás nyelvén rendelkezésre álló, elektronikus, hatósági nyilvántartás elektronikus elérhetősége.</w:t>
            </w:r>
            <w:r w:rsidRPr="0001188D">
              <w:br/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III.1.2) Gazdasági és pénzügyi alkalmasság</w:t>
            </w:r>
          </w:p>
          <w:p w:rsidR="0050408E" w:rsidRPr="0001188D" w:rsidRDefault="0050408E" w:rsidP="0050408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közbeszerzési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dokumentációban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megadott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kiválasztási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szempontok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</w:p>
          <w:p w:rsidR="0050408E" w:rsidRPr="0001188D" w:rsidRDefault="0050408E" w:rsidP="0050408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kiválasztási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szempontok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felsorolása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rövid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ismertetése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: Az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ajánlattevőnek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321/2015. (X.</w:t>
            </w:r>
            <w:r w:rsidR="00C1242A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30.)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Korm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rendelet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19. § (1)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bekezdés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c)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pontja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szerint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nyilatkoznia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kell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előző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legfeljebb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három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lezárt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üzleti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évben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földgáz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energia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szállítása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tárgyában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elért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teljes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nettó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árbevételéről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-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attól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függően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hogy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ajánlattevő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mikor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jött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létre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illetve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mikor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kezdte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meg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tevékenységét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amennyiben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ezek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adatok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rendelkezésre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állnak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.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</w:r>
            <w:r w:rsidR="00791AD9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Ha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Ajánlattevő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- a 321/2015. (X. 30.)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Korm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rendelet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19. § (1)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bekezdés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c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pontja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alapján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tekintettel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létrejöttének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illetve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tevékenysége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megkezdésének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időpontjára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-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nem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rendelkezik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felhívás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megküldésének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napját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megelőző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lezárt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üzleti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év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árbevételi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adataival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791AD9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akkor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üzleti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tevékenysége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megkezdése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óta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eltelt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időszak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alatt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elért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teljes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nettó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árbevételének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összegéről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kell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nyilatkoznia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.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  <w:t xml:space="preserve">Az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alkalmasság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igazolása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tekintetében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irányadóak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Kbt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3. § 10.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pontja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a 65. § (6)-(7)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bekezdései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valamint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321/2015. (X.</w:t>
            </w:r>
            <w:r w:rsidR="00C1242A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30.)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Korm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rendelet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1. § (1),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illetve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19. § (3)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bekezdése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.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  <w:t xml:space="preserve">Az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ajánlatkérő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tájékoztatja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ajánlattevőket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hogy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pénzügyi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gazdasági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műszaki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szakmai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alkalmasság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feltételeit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minősített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ajánlattevők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jegyzékében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foglaltakhoz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képest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szigorúbban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állapította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meg,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ezért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minősített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ajánlattevőknek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is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igazolniuk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kell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szerződés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teljesítésére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való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alkalmasságukat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közbeszerzés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tárgya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szerinti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árbevételük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valamint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felhívás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feladásától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visszafelé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számított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megelőző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három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év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legjelentősebb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földgáz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energia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szállításaik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bemutatását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illetően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</w:t>
            </w:r>
          </w:p>
          <w:p w:rsidR="0050408E" w:rsidRPr="0001188D" w:rsidRDefault="0050408E" w:rsidP="0050408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lastRenderedPageBreak/>
              <w:t xml:space="preserve">Az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alkalmasság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minimumkövetelménye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(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):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Alkalmatlannak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minősül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ajánlattevő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ha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nem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rendelkezik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előző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üzleti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évben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földgáz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energia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szállításából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származó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legalább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nettó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r w:rsidR="00027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20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millió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forint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árbevétellel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.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</w:r>
            <w:r w:rsidR="00633365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Ha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ajánlattevő</w:t>
            </w:r>
            <w:proofErr w:type="spellEnd"/>
            <w:r w:rsidR="00633365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,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tekintettel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létrejöttének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illetve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tevékenysége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megkezdésének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időpontjára</w:t>
            </w:r>
            <w:proofErr w:type="spellEnd"/>
            <w:r w:rsidR="00633365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,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nem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rendelkezik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lezárt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üzleti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év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árbevételi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adataival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633365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akkor</w:t>
            </w:r>
            <w:proofErr w:type="spellEnd"/>
            <w:r w:rsidR="00633365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alkalmatlannak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minősül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ha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nem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rendelkezik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üzleti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tevékenysége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megkezdése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óta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eltelt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időszakban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földgáz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energia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értékesítéséből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származó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legalább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nettó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r w:rsidR="00027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15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millió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forint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árbevétellel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</w:t>
            </w:r>
          </w:p>
          <w:p w:rsidR="0050408E" w:rsidRPr="0001188D" w:rsidRDefault="0050408E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III.1.3) Műszaki, illetve szakmai alkalmasság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Az igazolási módok felsorolása és rövid leírása: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</w:p>
          <w:p w:rsidR="00A712E2" w:rsidRPr="0001188D" w:rsidRDefault="00A712E2" w:rsidP="00A712E2">
            <w:pPr>
              <w:tabs>
                <w:tab w:val="num" w:pos="0"/>
              </w:tabs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Az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ajánlattevőnek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321/2015. (X.30.)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Korm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rendelet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21. § (1)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bekezdés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a)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pontja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szerint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ismertetnie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kell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felhívás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feladásától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visszafelé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számított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megelőző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három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év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(36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hónap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legjelentősebb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földgáz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energia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szállításait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megjelölve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legalább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teljesítés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idejét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a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szerződést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kötő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másik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felet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a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szállítás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tárgyát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az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ellenszolgáltatás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nettó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összegét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továbbá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arra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vonatkozó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nyilatkozatát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hogy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teljesítés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az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előírásoknak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és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szerződésnek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megfelelően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történt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-e).</w:t>
            </w:r>
          </w:p>
          <w:p w:rsidR="00A712E2" w:rsidRPr="0001188D" w:rsidRDefault="00A712E2" w:rsidP="00A712E2">
            <w:pPr>
              <w:tabs>
                <w:tab w:val="num" w:pos="0"/>
              </w:tabs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Az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alkalmasság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igazolása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tekintetében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irányadóak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Kbt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3. § 10.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pontja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a 65. § (6)-(7)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bekezdései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valamint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321/2015. (X.30.)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Korm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rendelet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1. § (1),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illetve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22. § (1)-(2).</w:t>
            </w:r>
          </w:p>
          <w:p w:rsidR="00A712E2" w:rsidRPr="0001188D" w:rsidRDefault="00A712E2" w:rsidP="00A712E2">
            <w:pPr>
              <w:tabs>
                <w:tab w:val="num" w:pos="0"/>
              </w:tabs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Az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ajánlatkérő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tájékoztatja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ajánlattevőket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hogy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pénzügyi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gazdasági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és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műszaki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szakmai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alkalmasság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feltételeit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minősített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ajánlattevők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jegyzékében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foglaltakhoz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képest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szigorúbban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állapította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meg,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ezért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minősített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ajánlattevőknek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is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igazolniuk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kell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szerződés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teljesítésére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való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alkalmasságukat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közbeszerzés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tárgya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szerinti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árbevételük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valamint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felhívás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feladásától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visszafelé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számított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megelőző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három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év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legjelentősebb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földgáz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energia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szállításaik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bemutatását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illetően</w:t>
            </w:r>
            <w:proofErr w:type="spellEnd"/>
            <w:r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0408E" w:rsidRPr="0001188D" w:rsidRDefault="0050408E" w:rsidP="0050408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</w:p>
          <w:p w:rsidR="00A712E2" w:rsidRPr="0001188D" w:rsidRDefault="0050408E" w:rsidP="00A712E2">
            <w:pPr>
              <w:tabs>
                <w:tab w:val="num" w:pos="0"/>
              </w:tabs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alkalmasság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minimumkövetelménye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(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):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Alkalmatlannak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minősül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az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ajánlattevő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ha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nem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rendelkezik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felhívás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feladását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megelőző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három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évben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(36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hónapban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összesen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legalább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nettó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272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millió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forint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összegben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értékesített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földgáz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energia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szállításáról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szóló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referenciával</w:t>
            </w:r>
            <w:proofErr w:type="spellEnd"/>
            <w:r w:rsidR="00A712E2" w:rsidRPr="0001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16744" w:rsidRPr="0001188D" w:rsidRDefault="00B16744" w:rsidP="00A712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0C5CED" w:rsidRPr="0001188D" w:rsidRDefault="000C5CED" w:rsidP="000C5CE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 xml:space="preserve">III.1.4) A részvételre vonatkozó objektív szabályok és kritériumok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(közszolgáltató ajánlatkérők esetében)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A szabályok és kritériumok felsorolása, rövid ismertetése: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III.1.5) Fenntartott szerződésekre vonatkozó információk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□ A szerződés védett műhelyek és olyan gazdasági szereplők számára fenntartott, amelyek célja a fogyatékkal élő vagy hátrányos helyzetű személyek társadalmi és szakmai integrációja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A szerződés teljesítése védett munkahely-teremtési programok keretében történik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 xml:space="preserve">□ A szerződés a </w:t>
            </w:r>
            <w:hyperlink r:id="rId9" w:history="1">
              <w:r w:rsidRPr="0001188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hu-HU" w:eastAsia="hu-HU"/>
                </w:rPr>
                <w:t>Kbt. 114. § (11) bekezdése</w:t>
              </w:r>
            </w:hyperlink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szerint fenntartott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III.1.6) A szerződés biztosítékai: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</w:p>
          <w:p w:rsidR="00FD4A10" w:rsidRPr="0001188D" w:rsidRDefault="00FD4A10" w:rsidP="00021F0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lastRenderedPageBreak/>
              <w:t>III.1.7) Az ellenszolgáltatás teljesítésének feltételei és / vagy hivatkozás a vonatkozó jogszabályi rendelkezésekre:</w:t>
            </w:r>
          </w:p>
          <w:p w:rsidR="001A1F61" w:rsidRPr="0001188D" w:rsidRDefault="001A1F61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Ajánlatkérő a szerződés teljesítéséhez szükséges anyagi fedezettel rendelkezik. </w:t>
            </w:r>
          </w:p>
          <w:p w:rsidR="001A1F61" w:rsidRPr="0001188D" w:rsidRDefault="001A1F61" w:rsidP="001A1F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Az ellenszolgáltatás megfizetésére az egyes számlák vonatkozásában a szerződésben meghatározott módon és tartalommal való teljesítés esetén havonta, utólag, átutalással, a teljesítés igazolását követően, a szabályszerűen kiállított számla alapján kerül sor. ( Kbt. 135. § (5)</w:t>
            </w:r>
            <w:r w:rsidR="0068282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bekezdés.)</w:t>
            </w:r>
          </w:p>
          <w:p w:rsidR="001A1F61" w:rsidRPr="0001188D" w:rsidRDefault="001A1F61" w:rsidP="001A1F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A díj megfizetésére az aláírt teljesítésigazolás és a vonatkozó jogszabályok szerint kiállított számla kézhezvételét követő 30 napon belül kerül sor, a Ptk. 6:130.§ (1) és (2) bekezdése, illetve az adózás rendjéről szóló 2003. évi XCII. törvény (Art.) 36/A. § rendelkezéseinek figyelembevételével. </w:t>
            </w:r>
          </w:p>
          <w:p w:rsidR="001A1F61" w:rsidRPr="0001188D" w:rsidRDefault="001A1F61" w:rsidP="001A1F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Az ajánlatkérő előleget nem biztosít.</w:t>
            </w:r>
          </w:p>
          <w:p w:rsidR="00FD4A10" w:rsidRPr="0001188D" w:rsidRDefault="00FD4A10" w:rsidP="001A1F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position w:val="10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III.1.8) A nyertes közös ajánlattevők által létrehozandó gazdálkodó szervezet: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</w:p>
          <w:p w:rsidR="001A1F61" w:rsidRPr="0001188D" w:rsidRDefault="00397029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Ajánlatkérő nem teszi lehetővé, hogy a nyertes ajánlattevő(k) a szerződés teljesítése érdekében gazdálkodó szervezetet hozzanak létre a szerződés teljesítése érdekében.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III.2) A szerződéssel kapcsolatos feltételek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</w:p>
          <w:p w:rsidR="00FD4A10" w:rsidRPr="0001188D" w:rsidRDefault="00FD4A10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397029" w:rsidRPr="0001188D" w:rsidRDefault="005378FD" w:rsidP="0039702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 xml:space="preserve">III.2.1) Meghatározott szakmára (képzettségre) vonatkozó információk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(csak szolgáltatásmegrendelés esetében)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r w:rsidR="00643106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o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A szolgáltatás teljesítése egy meghatározott szakmához (képzettséghez) van kötve</w:t>
            </w:r>
          </w:p>
          <w:p w:rsidR="005378FD" w:rsidRPr="0001188D" w:rsidRDefault="005378FD" w:rsidP="0039702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A vonatkozó törvényi, rendeleti vagy közigazgatási rendelkezésre történő hivatkozás:</w:t>
            </w:r>
          </w:p>
          <w:p w:rsidR="00397029" w:rsidRPr="0001188D" w:rsidRDefault="00397029" w:rsidP="0039702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210F4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III.2.2) A szerződés teljesítésével kapcsolatos feltételek:</w:t>
            </w:r>
          </w:p>
          <w:p w:rsidR="00140713" w:rsidRPr="0001188D" w:rsidRDefault="00140713" w:rsidP="003D5A1B">
            <w:pPr>
              <w:ind w:left="7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szerződés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teljesítésére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különleges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feltételek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vonatkoznak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: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  <w:t xml:space="preserve">- 2008.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évi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XL.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törvény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földgázellátásról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(GET),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  <w:t xml:space="preserve">- 2003.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évi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LXXXVIII.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törvény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energiaadóról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,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  <w:t xml:space="preserve">- 19/2009. (I. 30.)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Korm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rendelet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földgázellátásról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szóló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2008.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évi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XL.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törvény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rendelkezéseinek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végrehajtásáról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(GET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Vhr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.),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  <w:t>- 265/2009. (XII.</w:t>
            </w:r>
            <w:r w:rsidR="00C1242A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1.)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Kormányrendelet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földgázvételezés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korlátozásáról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földgáz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biztonsági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készlet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felhasználásáról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valamint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földgázellátási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válsághelyzet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esetén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szükséges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egyéb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intézkedésekről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,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  <w:t>- 31/2009. (VI.</w:t>
            </w:r>
            <w:r w:rsidR="00C1242A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25) KHEM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rendelet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földgáz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rendszerhasználati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díjak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megállapításáról</w:t>
            </w:r>
            <w:proofErr w:type="spellEnd"/>
            <w:r w:rsidR="00C1242A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.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</w:p>
          <w:p w:rsidR="00140713" w:rsidRPr="0001188D" w:rsidRDefault="00140713" w:rsidP="00210F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64310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 xml:space="preserve">III.2.3) A szerződés teljesítésében közreműködő személyekkel kapcsolatos információ 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br/>
            </w:r>
            <w:r w:rsidR="00643106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o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Az ajánlattevőknek közölniük kell a szerződés teljesítésében közreműködő személyek nevét és szakképzettségét</w:t>
            </w:r>
          </w:p>
          <w:p w:rsidR="00FD4A10" w:rsidRPr="0001188D" w:rsidRDefault="00FD4A10" w:rsidP="0064310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IV. szakasz: Eljárás</w:t>
            </w:r>
          </w:p>
          <w:p w:rsidR="00FD4A10" w:rsidRPr="0001188D" w:rsidRDefault="00FD4A10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IV.1) Meghatározás</w:t>
            </w:r>
          </w:p>
          <w:p w:rsidR="00FD4A10" w:rsidRPr="0001188D" w:rsidRDefault="00FD4A10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IV.1.1) Az eljárás fajtája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tblCellSpacing w:w="0" w:type="dxa"/>
        </w:trPr>
        <w:tc>
          <w:tcPr>
            <w:tcW w:w="3504" w:type="dxa"/>
            <w:gridSpan w:val="2"/>
            <w:vAlign w:val="center"/>
            <w:hideMark/>
          </w:tcPr>
          <w:p w:rsidR="005378FD" w:rsidRPr="0001188D" w:rsidRDefault="005378FD" w:rsidP="0039702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(klasszikus ajánlatkérők esetében)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r w:rsidR="00397029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x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Nyílt eljárás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Gyorsított eljárás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Indokolás: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o Meghívásos eljárás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Gyorsított eljárás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Indokolás: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 xml:space="preserve">o Tárgyalásos eljárás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 xml:space="preserve">□ Gyorsított eljárás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Indokolás: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o Versenypárbeszéd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o Innovációs partnerség</w:t>
            </w:r>
          </w:p>
          <w:p w:rsidR="00FD4A10" w:rsidRPr="0001188D" w:rsidRDefault="00FD4A10" w:rsidP="0039702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5274" w:type="dxa"/>
            <w:gridSpan w:val="4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(közszolgáltató ajánlatkérők esetében)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o Nyílt eljárás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o Meghívásos eljárás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o Tárgyalásos eljárás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o Versenypárbeszéd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o Innovációs partnerség</w:t>
            </w:r>
          </w:p>
        </w:tc>
        <w:tc>
          <w:tcPr>
            <w:tcW w:w="0" w:type="auto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IV.1.2) Keretmegállapodásra vagy dinamikus beszerzési rendszerre vonatkozó információk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□ A hirdetmény keretmegállapodás megkötésére irányul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o Keretmegállapodás egy ajánlattevővel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o Keretmegállapodás több ajánlattevővel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A keretmegállapodás résztvevőinek tervezett maximális létszáma: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[ ]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A hirdetmény dinamikus beszerzési rendszer létrehozására irányul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A dinamikus beszerzési rendszert további beszerzők is alkalmazhatják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 xml:space="preserve">Keretmegállapodások esetén - klasszikus ajánlatkérők esetében a négy évet meghaladó időtartam indokolása: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Keretmegállapodások esetén - közszolgáltató ajánlatkérők esetében a nyolc évet meghaladó időtartam indokolása:</w:t>
            </w:r>
          </w:p>
          <w:p w:rsidR="00895F88" w:rsidRPr="0001188D" w:rsidRDefault="00895F88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 xml:space="preserve">IV.1.3) A megoldások, illetve ajánlatok számának a tárgyalásos eljárás vagy a versenypárbeszéd során történő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csökkentesére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 xml:space="preserve"> irányuló információ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□ Több fordulóban lebonyolítandó tárgyalások igénybe vétele annak érdekében, hogy fokozatosan csökkentsék a megvitatandó megoldások, illetve a megtárgyalandó ajánlatok számát.</w:t>
            </w:r>
          </w:p>
          <w:p w:rsidR="00895F88" w:rsidRPr="0001188D" w:rsidRDefault="00895F88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 xml:space="preserve">IV.1.4) Információ a tárgyalásról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(klasszikus ajánlatkérők esetében; kizárólag tárgyalásos eljárás esetében)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□ Ajánlatkérő fenntartja a jogot arra, hogy a szerződést az eredeti ajánlat alapján, tárgyalások lefolytatása nélkül ítélje oda.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IV.1.5) Elektronikus árlejtésre vonatkozó információk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□ Elektronikus árlejtést fognak alkalmazni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 xml:space="preserve">További információk az elektronikus árlejtésről: </w:t>
            </w:r>
          </w:p>
          <w:p w:rsidR="00895F88" w:rsidRPr="0001188D" w:rsidRDefault="00895F88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IV.2) Adminisztratív információk</w:t>
            </w:r>
          </w:p>
          <w:p w:rsidR="00895F88" w:rsidRPr="0001188D" w:rsidRDefault="00895F88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IV.2.1) Az adott eljárásra vonatkozó korábbi közzététel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A hirdetmény száma a Közbeszerzési Értesítőben: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1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</w:t>
            </w:r>
            <w:proofErr w:type="gram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[ ]</w:t>
            </w:r>
            <w:proofErr w:type="gram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[ ][ ][ ][ ]/[ ][ ][ ][ ]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(KÉ-szám/évszám)</w:t>
            </w:r>
          </w:p>
          <w:p w:rsidR="00895F88" w:rsidRPr="0001188D" w:rsidRDefault="00895F88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643106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lastRenderedPageBreak/>
              <w:t>IV.2.2) Ajánlattételi vagy részvételi határidő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br/>
            </w:r>
            <w:r w:rsidRPr="00021F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 xml:space="preserve">Dátum: </w:t>
            </w:r>
            <w:r w:rsidR="00E06530" w:rsidRPr="00021F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201</w:t>
            </w:r>
            <w:r w:rsidR="00021F00" w:rsidRPr="00021F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8</w:t>
            </w:r>
            <w:r w:rsidR="00643106" w:rsidRPr="00021F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/</w:t>
            </w:r>
            <w:r w:rsidR="000272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03/</w:t>
            </w:r>
            <w:r w:rsidR="003677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19</w:t>
            </w:r>
            <w:r w:rsidR="00021F00" w:rsidRPr="00021F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 xml:space="preserve"> </w:t>
            </w:r>
            <w:proofErr w:type="gramStart"/>
            <w:r w:rsidR="00021F00" w:rsidRPr="00021F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 xml:space="preserve">  </w:t>
            </w:r>
            <w:r w:rsidR="00DB06B4" w:rsidRPr="00021F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 xml:space="preserve"> </w:t>
            </w:r>
            <w:r w:rsidRPr="00021F0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hu-HU" w:eastAsia="hu-HU"/>
              </w:rPr>
              <w:t>(</w:t>
            </w:r>
            <w:proofErr w:type="spellStart"/>
            <w:proofErr w:type="gramEnd"/>
            <w:r w:rsidRPr="00021F0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hu-HU" w:eastAsia="hu-HU"/>
              </w:rPr>
              <w:t>éééé</w:t>
            </w:r>
            <w:proofErr w:type="spellEnd"/>
            <w:r w:rsidRPr="00021F0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hu-HU" w:eastAsia="hu-HU"/>
              </w:rPr>
              <w:t>/</w:t>
            </w:r>
            <w:proofErr w:type="spellStart"/>
            <w:r w:rsidRPr="00021F0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hu-HU" w:eastAsia="hu-HU"/>
              </w:rPr>
              <w:t>hh</w:t>
            </w:r>
            <w:proofErr w:type="spellEnd"/>
            <w:r w:rsidRPr="00021F0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hu-HU" w:eastAsia="hu-HU"/>
              </w:rPr>
              <w:t>/</w:t>
            </w:r>
            <w:proofErr w:type="spellStart"/>
            <w:r w:rsidRPr="00021F0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hu-HU" w:eastAsia="hu-HU"/>
              </w:rPr>
              <w:t>nn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 xml:space="preserve">)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Helyi idő: </w:t>
            </w:r>
            <w:r w:rsidR="00397029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10:00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óó:pp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)</w:t>
            </w:r>
          </w:p>
          <w:p w:rsidR="00895F88" w:rsidRPr="0001188D" w:rsidRDefault="00895F88" w:rsidP="0064310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140713">
        <w:trPr>
          <w:gridAfter w:val="1"/>
          <w:trHeight w:val="1130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682824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IV.2.3) Az ajánlattételi vagy részvételi felhívás kiválasztott jelentkezők részére történő megküldésének tervezett napja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4</w:t>
            </w:r>
          </w:p>
          <w:p w:rsidR="005378FD" w:rsidRPr="0001188D" w:rsidRDefault="005378FD" w:rsidP="004764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(részvételi felhívás esetében)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Dátum: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éééé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/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hh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/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nn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)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 xml:space="preserve">IV.2.4) Azok a nyelvek, amelyeken az ajánlatok vagy részvételi jelentkezések benyújthatók: </w:t>
            </w:r>
            <w:r w:rsidR="00DA3CE1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[magyar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] </w:t>
            </w:r>
            <w:proofErr w:type="gram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[ ]</w:t>
            </w:r>
            <w:proofErr w:type="gramEnd"/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1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DA3CE1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 xml:space="preserve">IV.2.5) Az ajánlati kötöttség minimális időtartama: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(ajánlati felhívás esetében)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Az ajánlati kötöttség végső dátuma: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éééé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/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hh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/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nn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)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vagy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 xml:space="preserve">Az időtartam hónapban: </w:t>
            </w:r>
            <w:proofErr w:type="gram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[ ]</w:t>
            </w:r>
            <w:proofErr w:type="gram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vagy napban: [</w:t>
            </w:r>
            <w:r w:rsidR="00DA3CE1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60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]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 xml:space="preserve">(az ajánlattételi határidő lejártától számítva) </w:t>
            </w:r>
          </w:p>
          <w:p w:rsidR="00895F88" w:rsidRPr="0001188D" w:rsidRDefault="00895F88" w:rsidP="00DA3CE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1B7C95" w:rsidRPr="0001188D" w:rsidRDefault="005378FD" w:rsidP="001B7C9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 xml:space="preserve">IV.2.6) Az ajánlatok vagy részvételi jelentkezések felbontásának feltételei 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br/>
            </w:r>
            <w:proofErr w:type="spellStart"/>
            <w:r w:rsidRPr="00021F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Datum</w:t>
            </w:r>
            <w:proofErr w:type="spellEnd"/>
            <w:r w:rsidRPr="00021F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 xml:space="preserve">: </w:t>
            </w:r>
            <w:r w:rsidR="001B7C95" w:rsidRPr="00021F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201</w:t>
            </w:r>
            <w:r w:rsidR="00021F00" w:rsidRPr="00021F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8</w:t>
            </w:r>
            <w:r w:rsidR="00E06530" w:rsidRPr="00021F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/</w:t>
            </w:r>
            <w:r w:rsidR="004764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03</w:t>
            </w:r>
            <w:r w:rsidR="00E06530" w:rsidRPr="00021F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/</w:t>
            </w:r>
            <w:proofErr w:type="gramStart"/>
            <w:r w:rsidR="003677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19</w:t>
            </w:r>
            <w:r w:rsidR="001B7C95" w:rsidRPr="00021F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 xml:space="preserve">  </w:t>
            </w:r>
            <w:r w:rsidRPr="00021F0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hu-HU" w:eastAsia="hu-HU"/>
              </w:rPr>
              <w:t>(</w:t>
            </w:r>
            <w:proofErr w:type="spellStart"/>
            <w:proofErr w:type="gramEnd"/>
            <w:r w:rsidRPr="00021F0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hu-HU" w:eastAsia="hu-HU"/>
              </w:rPr>
              <w:t>éééé</w:t>
            </w:r>
            <w:proofErr w:type="spellEnd"/>
            <w:r w:rsidRPr="00021F0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hu-HU" w:eastAsia="hu-HU"/>
              </w:rPr>
              <w:t>/</w:t>
            </w:r>
            <w:proofErr w:type="spellStart"/>
            <w:r w:rsidRPr="00021F0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hu-HU" w:eastAsia="hu-HU"/>
              </w:rPr>
              <w:t>hh</w:t>
            </w:r>
            <w:proofErr w:type="spellEnd"/>
            <w:r w:rsidRPr="00021F0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hu-HU" w:eastAsia="hu-HU"/>
              </w:rPr>
              <w:t>/</w:t>
            </w:r>
            <w:proofErr w:type="spellStart"/>
            <w:r w:rsidRPr="00021F0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hu-HU" w:eastAsia="hu-HU"/>
              </w:rPr>
              <w:t>nn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 xml:space="preserve">)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Helyi idő: </w:t>
            </w:r>
            <w:r w:rsidR="001B7C95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10:00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óó:pp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 xml:space="preserve">)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Hely: </w:t>
            </w:r>
            <w:r w:rsidR="001B7C95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1145 Budapest, </w:t>
            </w:r>
            <w:proofErr w:type="spellStart"/>
            <w:r w:rsidR="001B7C95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Columbus</w:t>
            </w:r>
            <w:proofErr w:type="spellEnd"/>
            <w:r w:rsidR="001B7C95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u. 17-23. 1</w:t>
            </w:r>
            <w:r w:rsidR="00F42E35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2</w:t>
            </w:r>
            <w:r w:rsidR="001B7C95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9. sz. helyiség.</w:t>
            </w:r>
          </w:p>
          <w:p w:rsidR="005378FD" w:rsidRPr="0001188D" w:rsidRDefault="005378FD" w:rsidP="001B7C9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Információk a jogosultakról és a bontási eljárásról:</w:t>
            </w:r>
            <w:r w:rsidR="00DA3CE1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</w:t>
            </w:r>
            <w:r w:rsidR="001B7C95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A bontáson a Kbt. 68. § (3) bekezdés szerinti személyek vehetnek részt.</w:t>
            </w:r>
          </w:p>
          <w:p w:rsidR="00895F88" w:rsidRPr="0001188D" w:rsidRDefault="00895F88" w:rsidP="001B7C9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VI. szakasz: Kiegészítő információk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VI.1) A közbeszerzés ismétlődő jellegére vonatkozó információk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682824" w:rsidRPr="0001188D" w:rsidRDefault="005378FD" w:rsidP="001B7C9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A közbeszerzés ismétlődő jellegű </w:t>
            </w:r>
            <w:r w:rsidR="00140713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x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igen </w:t>
            </w:r>
            <w:r w:rsidR="00140713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o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nem</w:t>
            </w:r>
          </w:p>
          <w:p w:rsidR="005378FD" w:rsidRPr="0001188D" w:rsidRDefault="005378FD" w:rsidP="00021F0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A további hirdetmények közzétételének tervezett ideje:</w:t>
            </w:r>
            <w:r w:rsidR="00140713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201</w:t>
            </w:r>
            <w:r w:rsidR="00021F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9</w:t>
            </w:r>
            <w:r w:rsidR="00F42E35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. </w:t>
            </w:r>
            <w:r w:rsidR="00021F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február</w:t>
            </w:r>
            <w:r w:rsidR="00F42E35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3D5A1B" w:rsidRPr="0001188D" w:rsidRDefault="003D5A1B" w:rsidP="005378F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</w:pPr>
          </w:p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VI.2) Információ az elektronikus munkafolyamatokról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□ A megrendelés elektronikus úton történik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Elektronikusan benyújtott számlákat elfogadnak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□ A fizetés elektronikus úton történik</w:t>
            </w: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F62564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VI.3.1) Feltételes közbeszerzés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□ Ajánlatkérő felhívja a gazdasági szereplők figyelmét, hogy az eljárást eredménytelenné nyilváníthatja, ha valamely meghatározott, ellenőrzési körén kívül eső, bizonytalan jövőbeli esemény az ajánlattételi, illetve részvételi határidő lejártát követően következik be.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Ajánlatkérő ellenőrzési körén kívül eső, bizonytalan jövőbeli esemény meghatározása:</w:t>
            </w:r>
          </w:p>
          <w:p w:rsidR="00895F88" w:rsidRPr="0001188D" w:rsidRDefault="00895F88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 xml:space="preserve">VI.3.2) Az ajánlati biztosíték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(ajánlati felhívás esetében)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□ Az eljárásban való részvétel ajánlati biztosíték adásához kötött.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Az ajánlati biztosíték mértéke: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A befizetés helye: vagy az ajánlatkérő fizetési számlaszáma: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Az ajánlati biztosíték befizetése (teljesítése) igazolásának módja:</w:t>
            </w:r>
          </w:p>
          <w:p w:rsidR="00895F88" w:rsidRPr="0001188D" w:rsidRDefault="00895F88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lastRenderedPageBreak/>
              <w:t>VI.3.3) Konzultációra vonatkozó információk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□ Kiegészítő tájékoztatást ajánlatkérő konzultáció formájában is megadja.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 xml:space="preserve">A konzultáció időpontja: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éééé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/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hh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/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nn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 xml:space="preserve">)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és helye:</w:t>
            </w:r>
          </w:p>
          <w:p w:rsidR="00895F88" w:rsidRPr="0001188D" w:rsidRDefault="00895F88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B142D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VI.3.4) Alvállalkozók igénybevétele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br/>
            </w:r>
            <w:r w:rsidR="00B142D8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x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Ajánlatkérő előírja, hogy az ajánlatban (részvételi jelentkezésben) meg kell jelölni a közbeszerzésnek azt (azokat) a részét (részeit), amelynek teljesítéséhez az ajánlattevő (részvételre jelentkező) alvállalkozót kíván igénybe venni, az ezen részek tekintetében igénybe venni kívánt és az ajánlat vagy a részvételi jelentkezés benyújtásakor már ismert alvállalkozókat.</w:t>
            </w:r>
          </w:p>
          <w:p w:rsidR="00895F88" w:rsidRPr="0001188D" w:rsidRDefault="00895F88" w:rsidP="00B142D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1B7C9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VI.3.5) Hiánypótlás elrendelése korábban nem szereplő gazdasági szereplő esetében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Ajánlatban, vagy jelentkezésben korábban nem szereplő gazdasági szereplő hiánypótlással történő eljárásba bevonása esetében újabb hiánypótlás elrendelése o igen </w:t>
            </w:r>
            <w:r w:rsidR="001B7C95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x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nem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>A korlátozás(ok) meghatározása újabb hiánypótlás elrendelése esetében:</w:t>
            </w:r>
          </w:p>
          <w:p w:rsidR="00895F88" w:rsidRPr="0001188D" w:rsidRDefault="00895F88" w:rsidP="001B7C9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VI.3.6) Ajánlat érvénytelenségére vonatkozó összeg ár vagy költség esetében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Ajánlatkérő az alábbi értéket meghaladó árat vagy költséget tartalmazó ajánlatot a bírálat során érvénytelenné nyilvánítja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1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Rész száma: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</w:t>
            </w:r>
            <w:proofErr w:type="gram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[ ]</w:t>
            </w:r>
            <w:proofErr w:type="gram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Érték ÁFA nélkül: [ ] Pénznem: [ ][ ][ ]</w:t>
            </w:r>
          </w:p>
          <w:p w:rsidR="00895F88" w:rsidRPr="0001188D" w:rsidRDefault="00895F88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 xml:space="preserve">VI.3.7) Bármely rész eredménytelensége esetében valamennyi rész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eredménytelenségére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 xml:space="preserve"> vonatkozó információ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□ Ajánlatkérő rögzíti, hogy bármely rész eredménytelensége esetén nem áll érdekében a szerződések megkötése.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 xml:space="preserve">Valamennyi rész esetében a szerződéskötés érdekmúlásának indoka: </w:t>
            </w:r>
          </w:p>
          <w:p w:rsidR="00895F88" w:rsidRPr="0001188D" w:rsidRDefault="00895F88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VI.3.8) Az ajánlatok értékelési szempontok szerinti tartalmi elemeinek értékelése során adható pontszám: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</w:p>
          <w:p w:rsidR="001B7C95" w:rsidRPr="0001188D" w:rsidRDefault="001B7C95" w:rsidP="008F4DF9">
            <w:pPr>
              <w:ind w:left="7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VI.3.9) A módszer(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ek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) meghatározása, amellyel a VI.3.8) pont szerinti ponthatárok közötti pontszámot megadásra kerül:</w:t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</w:p>
          <w:p w:rsidR="006E119E" w:rsidRPr="0001188D" w:rsidRDefault="006E119E" w:rsidP="00B158B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VI.3.10) Életciklusköltség-számítási módszer alkalmazására vonatkozó információ</w:t>
            </w: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□ Ajánlatkérő az áru, szolgáltatás vagy építési beruházás értékeléskor figyelembe vett költségét életciklusköltség-számítási módszer alkalmazásával határozza meg.</w:t>
            </w:r>
          </w:p>
          <w:p w:rsidR="00895F88" w:rsidRPr="0001188D" w:rsidRDefault="00895F88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5378FD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5378FD" w:rsidRPr="0001188D" w:rsidRDefault="005378FD" w:rsidP="00DA3CE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 xml:space="preserve">VI.3.11) A bírálatra vonatkozó további információk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(nyílt eljárás esetében)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r w:rsidR="00DA3CE1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>x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Ajánlatkérő a bírálatnak az aránytalanul alacsony ár vagy költség vizsgálatára vonatkozó részét az ajánlatok értékelését követően végzi el.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br/>
              <w:t xml:space="preserve">□ Ajánlatkérő az ajánlatok bírálatát - az egységes európai közbeszerzési 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lastRenderedPageBreak/>
              <w:t>dokumentumban foglalt nyilatkozat alapján - az ajánlatok értékelését követően végzi el.</w:t>
            </w:r>
          </w:p>
          <w:p w:rsidR="00895F88" w:rsidRPr="0001188D" w:rsidRDefault="00895F88" w:rsidP="00DA3CE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5378FD" w:rsidRPr="0001188D" w:rsidRDefault="005378FD" w:rsidP="005378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F62564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F62564" w:rsidRPr="0001188D" w:rsidRDefault="00F62564" w:rsidP="00F6256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>VI.3) További információk:</w:t>
            </w:r>
          </w:p>
          <w:p w:rsidR="00F62564" w:rsidRPr="0001188D" w:rsidRDefault="00700910" w:rsidP="00700910">
            <w:pPr>
              <w:pStyle w:val="Listaszerbekezds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1. 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</w:t>
            </w:r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dokumentáció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saját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részre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történő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megkérése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eljárásban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való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részvétel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feltétele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</w:t>
            </w:r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  <w:t xml:space="preserve">2. Az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ajánlatok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benyújtására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lehetőség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van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postai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úton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illetve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személyesen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munkanapokon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hétfőtől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csütörtökig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09:00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15:00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óra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pénteken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09:00 - 13:00 </w:t>
            </w:r>
            <w:proofErr w:type="spellStart"/>
            <w:r w:rsidR="00BF793C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óra</w:t>
            </w:r>
            <w:proofErr w:type="spellEnd"/>
            <w:r w:rsidR="00BF793C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BF793C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között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ajánlattételi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határidő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lejártának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napján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1</w:t>
            </w:r>
            <w:r w:rsidR="00BF793C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0</w:t>
            </w:r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:00 </w:t>
            </w:r>
            <w:proofErr w:type="spellStart"/>
            <w:r w:rsidR="00BF793C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óráig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Ajánlatkérő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1145 Budapest, Columbus u. 17-23.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alatti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épületében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a </w:t>
            </w:r>
            <w:r w:rsidR="00F42E35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129</w:t>
            </w:r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-es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szobában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.</w:t>
            </w:r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  <w:t xml:space="preserve">3. Az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ajánlatot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ajánlattevőknek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roncsolás-mentesen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nem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bontható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formában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kell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benyújtaniuk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2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példányban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egy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papír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alapú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példány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valamint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egy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papír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alapúval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mindenben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egyező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másolati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példány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elektronikus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adathordozón</w:t>
            </w:r>
            <w:proofErr w:type="spellEnd"/>
            <w:r w:rsidR="00BF793C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,</w:t>
            </w:r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pl. CD</w:t>
            </w:r>
            <w:r w:rsidR="00BF793C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-n</w:t>
            </w:r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).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Kérjük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továbbá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hogy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ajánlattevő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tegyen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cégszerűen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aláírt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nyilatkozatot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tekintetben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hogy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elektronikus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formában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benyújtott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példánya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papír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alapú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példánnyal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megegyezik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</w:t>
            </w:r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  <w:t xml:space="preserve">4. Az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első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oldala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„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Felolvasólap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”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legyen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amelyen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következőket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kell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szerepeltetni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Kbt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68. § (4)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bekezdése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szerint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ajánlattevő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nevét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székhelyét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valamint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ellenszolgáltatás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összegét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mint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értékelési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szempont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alapján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értékelésre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kerülő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számszerűsíthető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főbb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adatot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Bármilyen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ajánlatban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szereplő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eltérés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vagy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ellentmondás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esetén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ajánlatkérő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Felolvasólap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adatait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tekinti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mérvadónak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!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Ajánlatkérő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dokumentációban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iratmintát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bocsát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ajánlattevők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rendelkezésére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.</w:t>
            </w:r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  <w:t xml:space="preserve">5.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jelen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felhívás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IV.2.6)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pontjában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meghatározott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kötöttség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folyamatba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beépített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ellenőrzés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szerint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érvényesül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.</w:t>
            </w:r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  <w:t xml:space="preserve">6.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Ajánlattevőnek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ajánlatában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nyilatkoznia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kell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Kbt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66. § (2)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(4)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bekezdése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szerint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cégszerűen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nyilatkoznia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kell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Kbt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66. § (6)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bekezdése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a 65. § (7)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bekezdése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67. § (4)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bekezdése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szerint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nyilatkozatokat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nemleges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tartalom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esetén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is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kifejezetten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meg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kell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tenni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ajánlathoz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csatolni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.</w:t>
            </w:r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  <w:t xml:space="preserve">7.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Ajánlattevő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Kbt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67. § (1)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bekezdése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alapján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ajánlatában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köteles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kizáró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okok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fenn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nem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állására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valamint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alkalmassági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követelményeknek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megfelelés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tekintetében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nyilatkozatát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benyújtani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.</w:t>
            </w:r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  <w:t xml:space="preserve">8. Az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ajánlathoz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csatolni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kell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ajánlatot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cégszerűen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aláíró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személy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(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ek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aláírási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címpéldányát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vagy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ügyvéd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által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ellenjegyzett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aláírásmintáját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egyszerű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másolatban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Ha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ajánlatot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nem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cégjegyzésre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jogosult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személy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írja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alá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cégszerűen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úgy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aláírási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címpéldány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avagy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minta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mellett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csatolni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kell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teljes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bizonyító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erejű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magánokiratba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foglalt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meghatalmazást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is.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Csatolni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kell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továbbá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cégbírósághoz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benyújtott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változásbejegyzési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kérelmet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annak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érkezéséről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cégbíróság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által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megküldött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igazolást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321/2015. (X. 30.)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Korm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rendelet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13. §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szerint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nemleges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is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csatolandó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)</w:t>
            </w:r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  <w:t xml:space="preserve">9.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Ajánlatkérő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felhívás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III.2.3 M.1.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pontjában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meghatározott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műszaki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illetve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szakmai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alkalmassági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feltételeket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igazolást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ajánlatkérő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minősített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ajánlattevők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hivatalos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jegyzékébe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történő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felvételének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feltételét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képező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minősítési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szempontokhoz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képest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szigorúbban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határozta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meg</w:t>
            </w:r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</w:r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lastRenderedPageBreak/>
              <w:t xml:space="preserve">10.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Ajánlatkérő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eljárás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nyertesével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köt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szerződést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nyertes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visszalépése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esetén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ajánlatkérő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ajánlatok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értékelése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során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következő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legkedvezőbb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ajánlatot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tevőnek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minősített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szervezettel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köt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szerződést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, ha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őt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az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ajánlatok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elbírálásáról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szóló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írásbeli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összegezésben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megjelölte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Kbt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131. § (4)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bekezdése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szerint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eljárva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  <w:t xml:space="preserve">11.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Kiegészítő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tájékoztatás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Kbt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56. § (1)-(5)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bekezdéseiben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foglaltak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szerint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.</w:t>
            </w:r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br/>
              <w:t xml:space="preserve">12.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Hiánypótlás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: 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Kbt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. 71. §-a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szerint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biztosított</w:t>
            </w:r>
            <w:proofErr w:type="spellEnd"/>
            <w:r w:rsidR="00F62564"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.</w:t>
            </w:r>
          </w:p>
          <w:p w:rsidR="00F62564" w:rsidRPr="0001188D" w:rsidRDefault="00F62564" w:rsidP="00F62564">
            <w:pPr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  <w:tc>
          <w:tcPr>
            <w:tcW w:w="1387" w:type="dxa"/>
            <w:vAlign w:val="center"/>
            <w:hideMark/>
          </w:tcPr>
          <w:p w:rsidR="00F62564" w:rsidRPr="0001188D" w:rsidRDefault="00F62564" w:rsidP="00F6256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F62564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F62564" w:rsidRPr="0001188D" w:rsidRDefault="00F62564" w:rsidP="00D92ED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hu-HU" w:eastAsia="hu-HU"/>
              </w:rPr>
              <w:t xml:space="preserve">VI.4) E felhívás megküldésének dátuma: </w:t>
            </w:r>
            <w:r w:rsidRPr="00D92E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u-HU" w:eastAsia="hu-HU"/>
              </w:rPr>
              <w:t>201</w:t>
            </w:r>
            <w:r w:rsidR="00021F00" w:rsidRPr="00D92E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u-HU" w:eastAsia="hu-HU"/>
              </w:rPr>
              <w:t>8</w:t>
            </w:r>
            <w:r w:rsidRPr="00D92E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u-HU" w:eastAsia="hu-HU"/>
              </w:rPr>
              <w:t>/</w:t>
            </w:r>
            <w:r w:rsidR="000272CB" w:rsidRPr="00D92E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u-HU" w:eastAsia="hu-HU"/>
              </w:rPr>
              <w:t>03</w:t>
            </w:r>
            <w:r w:rsidR="002B742A" w:rsidRPr="00D92E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u-HU" w:eastAsia="hu-HU"/>
              </w:rPr>
              <w:t>/</w:t>
            </w:r>
            <w:r w:rsidR="00476411" w:rsidRPr="00D92E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u-HU" w:eastAsia="hu-HU"/>
              </w:rPr>
              <w:t>1</w:t>
            </w:r>
            <w:r w:rsidR="00D92E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u-HU" w:eastAsia="hu-HU"/>
              </w:rPr>
              <w:t>2</w:t>
            </w:r>
            <w:r w:rsidR="00021F00" w:rsidRPr="00D92E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u-HU" w:eastAsia="hu-HU"/>
              </w:rPr>
              <w:t xml:space="preserve">  </w:t>
            </w:r>
            <w:r w:rsidRPr="00D92E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u-HU" w:eastAsia="hu-HU"/>
              </w:rPr>
              <w:t xml:space="preserve">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(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éééé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/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hh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/</w:t>
            </w:r>
            <w:proofErr w:type="spellStart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nn</w:t>
            </w:r>
            <w:proofErr w:type="spellEnd"/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/)</w:t>
            </w:r>
          </w:p>
        </w:tc>
        <w:tc>
          <w:tcPr>
            <w:tcW w:w="1387" w:type="dxa"/>
            <w:vAlign w:val="center"/>
            <w:hideMark/>
          </w:tcPr>
          <w:p w:rsidR="00F62564" w:rsidRPr="0001188D" w:rsidRDefault="00F62564" w:rsidP="00F6256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F62564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F62564" w:rsidRPr="0001188D" w:rsidRDefault="00F62564" w:rsidP="00F6256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 xml:space="preserve">Az európai uniós, a </w:t>
            </w:r>
            <w:hyperlink r:id="rId10" w:history="1">
              <w:r w:rsidRPr="0001188D">
                <w:rPr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lang w:val="hu-HU" w:eastAsia="hu-HU"/>
                </w:rPr>
                <w:t>Kbt.</w:t>
              </w:r>
            </w:hyperlink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, annak végrehajtási rendeletei és más alkalmazandó jog előírásainak történő megfelelés biztosítása az ajánlatkérő felelőssége.</w:t>
            </w:r>
          </w:p>
        </w:tc>
        <w:tc>
          <w:tcPr>
            <w:tcW w:w="1387" w:type="dxa"/>
            <w:vAlign w:val="center"/>
            <w:hideMark/>
          </w:tcPr>
          <w:p w:rsidR="00F62564" w:rsidRPr="0001188D" w:rsidRDefault="00F62564" w:rsidP="00F6256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  <w:tr w:rsidR="00F62564" w:rsidRPr="0001188D" w:rsidTr="00633365">
        <w:trPr>
          <w:gridAfter w:val="1"/>
          <w:tblCellSpacing w:w="0" w:type="dxa"/>
        </w:trPr>
        <w:tc>
          <w:tcPr>
            <w:tcW w:w="7391" w:type="dxa"/>
            <w:gridSpan w:val="5"/>
            <w:vAlign w:val="center"/>
            <w:hideMark/>
          </w:tcPr>
          <w:p w:rsidR="00F62564" w:rsidRPr="0001188D" w:rsidRDefault="00F62564" w:rsidP="00F6256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1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szükség szerinti számban ismételje meg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adott esetben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proofErr w:type="gramStart"/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4</w:t>
            </w:r>
            <w:proofErr w:type="gramEnd"/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ha az információ ismert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20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súlyszám helyett fontosság is megadható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br/>
            </w:r>
            <w:r w:rsidRPr="0001188D">
              <w:rPr>
                <w:rFonts w:ascii="Times New Roman" w:eastAsia="Times New Roman" w:hAnsi="Times New Roman" w:cs="Times New Roman"/>
                <w:color w:val="auto"/>
                <w:position w:val="10"/>
                <w:sz w:val="24"/>
                <w:szCs w:val="24"/>
                <w:lang w:val="hu-HU" w:eastAsia="hu-HU"/>
              </w:rPr>
              <w:t>21</w:t>
            </w:r>
            <w:r w:rsidRPr="0001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  <w:t xml:space="preserve"> </w:t>
            </w:r>
            <w:r w:rsidRPr="0001188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hu-HU" w:eastAsia="hu-HU"/>
              </w:rPr>
              <w:t>súlyszám helyett fontosság is megadható; ha az ár az egyetlen értékelési szempont, súlyszám nem szükséges</w:t>
            </w:r>
          </w:p>
        </w:tc>
        <w:tc>
          <w:tcPr>
            <w:tcW w:w="1387" w:type="dxa"/>
            <w:vAlign w:val="center"/>
            <w:hideMark/>
          </w:tcPr>
          <w:p w:rsidR="00F62564" w:rsidRPr="0001188D" w:rsidRDefault="00F62564" w:rsidP="00F6256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</w:p>
        </w:tc>
      </w:tr>
    </w:tbl>
    <w:p w:rsidR="00A71A2C" w:rsidRPr="0001188D" w:rsidRDefault="00A71A2C">
      <w:pPr>
        <w:rPr>
          <w:rFonts w:ascii="Times New Roman" w:hAnsi="Times New Roman" w:cs="Times New Roman"/>
          <w:color w:val="auto"/>
          <w:sz w:val="24"/>
          <w:szCs w:val="24"/>
          <w:lang w:val="hu-HU"/>
        </w:rPr>
      </w:pPr>
    </w:p>
    <w:sectPr w:rsidR="00A71A2C" w:rsidRPr="0001188D" w:rsidSect="00D2115D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A5C" w:rsidRDefault="00B66A5C" w:rsidP="004A005A">
      <w:r>
        <w:separator/>
      </w:r>
    </w:p>
  </w:endnote>
  <w:endnote w:type="continuationSeparator" w:id="0">
    <w:p w:rsidR="00B66A5C" w:rsidRDefault="00B66A5C" w:rsidP="004A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30110"/>
      <w:docPartObj>
        <w:docPartGallery w:val="Page Numbers (Bottom of Page)"/>
        <w:docPartUnique/>
      </w:docPartObj>
    </w:sdtPr>
    <w:sdtEndPr/>
    <w:sdtContent>
      <w:p w:rsidR="004A005A" w:rsidRDefault="00D56F6B">
        <w:pPr>
          <w:pStyle w:val="llb"/>
          <w:jc w:val="right"/>
        </w:pPr>
        <w:r w:rsidRPr="004A005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A005A" w:rsidRPr="004A005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4A005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6778F">
          <w:rPr>
            <w:rFonts w:ascii="Times New Roman" w:hAnsi="Times New Roman" w:cs="Times New Roman"/>
            <w:noProof/>
            <w:sz w:val="18"/>
            <w:szCs w:val="18"/>
          </w:rPr>
          <w:t>11</w:t>
        </w:r>
        <w:r w:rsidRPr="004A005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A005A" w:rsidRDefault="004A00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A5C" w:rsidRDefault="00B66A5C" w:rsidP="004A005A">
      <w:r>
        <w:separator/>
      </w:r>
    </w:p>
  </w:footnote>
  <w:footnote w:type="continuationSeparator" w:id="0">
    <w:p w:rsidR="00B66A5C" w:rsidRDefault="00B66A5C" w:rsidP="004A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273"/>
    <w:multiLevelType w:val="hybridMultilevel"/>
    <w:tmpl w:val="34DEB1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14C"/>
    <w:multiLevelType w:val="hybridMultilevel"/>
    <w:tmpl w:val="756E9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952"/>
    <w:multiLevelType w:val="hybridMultilevel"/>
    <w:tmpl w:val="3EDCDA14"/>
    <w:lvl w:ilvl="0" w:tplc="CDA02B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03189"/>
    <w:multiLevelType w:val="hybridMultilevel"/>
    <w:tmpl w:val="4AD8D888"/>
    <w:lvl w:ilvl="0" w:tplc="890288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B1121"/>
    <w:multiLevelType w:val="hybridMultilevel"/>
    <w:tmpl w:val="CAA483FE"/>
    <w:lvl w:ilvl="0" w:tplc="63425F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FD"/>
    <w:rsid w:val="0001188D"/>
    <w:rsid w:val="00015253"/>
    <w:rsid w:val="00015B7A"/>
    <w:rsid w:val="00016290"/>
    <w:rsid w:val="00020E29"/>
    <w:rsid w:val="00021F00"/>
    <w:rsid w:val="000272CB"/>
    <w:rsid w:val="00054864"/>
    <w:rsid w:val="0005605F"/>
    <w:rsid w:val="000724CF"/>
    <w:rsid w:val="00096097"/>
    <w:rsid w:val="000B2057"/>
    <w:rsid w:val="000C5CED"/>
    <w:rsid w:val="000C716A"/>
    <w:rsid w:val="000D0FBA"/>
    <w:rsid w:val="000D64D9"/>
    <w:rsid w:val="000F4C20"/>
    <w:rsid w:val="00100FB9"/>
    <w:rsid w:val="0011549C"/>
    <w:rsid w:val="001216E3"/>
    <w:rsid w:val="00122B3E"/>
    <w:rsid w:val="00140713"/>
    <w:rsid w:val="00141CB4"/>
    <w:rsid w:val="00146AE7"/>
    <w:rsid w:val="00154729"/>
    <w:rsid w:val="00156FE8"/>
    <w:rsid w:val="00164140"/>
    <w:rsid w:val="001772D3"/>
    <w:rsid w:val="00193E31"/>
    <w:rsid w:val="00196F1F"/>
    <w:rsid w:val="001A1F61"/>
    <w:rsid w:val="001A5871"/>
    <w:rsid w:val="001B6CEF"/>
    <w:rsid w:val="001B7C95"/>
    <w:rsid w:val="001C38D7"/>
    <w:rsid w:val="001F2E2C"/>
    <w:rsid w:val="00206E2C"/>
    <w:rsid w:val="00210F44"/>
    <w:rsid w:val="00227FC5"/>
    <w:rsid w:val="00234B3A"/>
    <w:rsid w:val="00260DEE"/>
    <w:rsid w:val="00266689"/>
    <w:rsid w:val="00293AFD"/>
    <w:rsid w:val="002B468E"/>
    <w:rsid w:val="002B4EF4"/>
    <w:rsid w:val="002B742A"/>
    <w:rsid w:val="002D0507"/>
    <w:rsid w:val="002D57D5"/>
    <w:rsid w:val="002D5F88"/>
    <w:rsid w:val="002E24A7"/>
    <w:rsid w:val="00327520"/>
    <w:rsid w:val="00337481"/>
    <w:rsid w:val="0036778F"/>
    <w:rsid w:val="00397029"/>
    <w:rsid w:val="003A40C6"/>
    <w:rsid w:val="003A7383"/>
    <w:rsid w:val="003C0C22"/>
    <w:rsid w:val="003C5CBC"/>
    <w:rsid w:val="003D162D"/>
    <w:rsid w:val="003D5A1B"/>
    <w:rsid w:val="003E1C3A"/>
    <w:rsid w:val="00401CC3"/>
    <w:rsid w:val="00416461"/>
    <w:rsid w:val="0042263D"/>
    <w:rsid w:val="00437780"/>
    <w:rsid w:val="00444739"/>
    <w:rsid w:val="0045088B"/>
    <w:rsid w:val="00476411"/>
    <w:rsid w:val="00484A90"/>
    <w:rsid w:val="004910DB"/>
    <w:rsid w:val="004A005A"/>
    <w:rsid w:val="004A3E89"/>
    <w:rsid w:val="004B11F3"/>
    <w:rsid w:val="004C3597"/>
    <w:rsid w:val="004C5522"/>
    <w:rsid w:val="0050408E"/>
    <w:rsid w:val="00514F3C"/>
    <w:rsid w:val="00520BFE"/>
    <w:rsid w:val="00524B4D"/>
    <w:rsid w:val="005261A1"/>
    <w:rsid w:val="00526533"/>
    <w:rsid w:val="005378FD"/>
    <w:rsid w:val="00542F0D"/>
    <w:rsid w:val="00545521"/>
    <w:rsid w:val="00571001"/>
    <w:rsid w:val="00594176"/>
    <w:rsid w:val="0059690E"/>
    <w:rsid w:val="005C07C4"/>
    <w:rsid w:val="005D1F59"/>
    <w:rsid w:val="005E29AE"/>
    <w:rsid w:val="005E6C37"/>
    <w:rsid w:val="005E7634"/>
    <w:rsid w:val="006018C7"/>
    <w:rsid w:val="006103E4"/>
    <w:rsid w:val="00614E06"/>
    <w:rsid w:val="00615C83"/>
    <w:rsid w:val="00632785"/>
    <w:rsid w:val="00633365"/>
    <w:rsid w:val="00637EB3"/>
    <w:rsid w:val="00643106"/>
    <w:rsid w:val="006455E8"/>
    <w:rsid w:val="0066546A"/>
    <w:rsid w:val="00676F3B"/>
    <w:rsid w:val="0068121B"/>
    <w:rsid w:val="00682824"/>
    <w:rsid w:val="00690FDC"/>
    <w:rsid w:val="006942EF"/>
    <w:rsid w:val="006A1552"/>
    <w:rsid w:val="006B4859"/>
    <w:rsid w:val="006C7CE2"/>
    <w:rsid w:val="006D14E7"/>
    <w:rsid w:val="006D6C0E"/>
    <w:rsid w:val="006E119E"/>
    <w:rsid w:val="006E19C1"/>
    <w:rsid w:val="006F590A"/>
    <w:rsid w:val="00700910"/>
    <w:rsid w:val="00701DD9"/>
    <w:rsid w:val="00772FA8"/>
    <w:rsid w:val="00774CE7"/>
    <w:rsid w:val="007864C2"/>
    <w:rsid w:val="00791AD9"/>
    <w:rsid w:val="00795CA3"/>
    <w:rsid w:val="007A1BB8"/>
    <w:rsid w:val="007B3B2D"/>
    <w:rsid w:val="007B3DBA"/>
    <w:rsid w:val="007C3F7D"/>
    <w:rsid w:val="007C7DAC"/>
    <w:rsid w:val="00815DCA"/>
    <w:rsid w:val="00817A9B"/>
    <w:rsid w:val="0084094F"/>
    <w:rsid w:val="00860E41"/>
    <w:rsid w:val="008613A5"/>
    <w:rsid w:val="00865845"/>
    <w:rsid w:val="00871787"/>
    <w:rsid w:val="00895F88"/>
    <w:rsid w:val="008A4EFF"/>
    <w:rsid w:val="008A5CF5"/>
    <w:rsid w:val="008C159B"/>
    <w:rsid w:val="008F4DF9"/>
    <w:rsid w:val="009059AB"/>
    <w:rsid w:val="00921005"/>
    <w:rsid w:val="00936403"/>
    <w:rsid w:val="00936428"/>
    <w:rsid w:val="00950EEC"/>
    <w:rsid w:val="00974B3E"/>
    <w:rsid w:val="009774A2"/>
    <w:rsid w:val="00987D2D"/>
    <w:rsid w:val="009932E3"/>
    <w:rsid w:val="00A05BE8"/>
    <w:rsid w:val="00A14851"/>
    <w:rsid w:val="00A14BB5"/>
    <w:rsid w:val="00A33533"/>
    <w:rsid w:val="00A33B54"/>
    <w:rsid w:val="00A47ACA"/>
    <w:rsid w:val="00A60231"/>
    <w:rsid w:val="00A66121"/>
    <w:rsid w:val="00A712E2"/>
    <w:rsid w:val="00A71544"/>
    <w:rsid w:val="00A71A2C"/>
    <w:rsid w:val="00A74A75"/>
    <w:rsid w:val="00A87076"/>
    <w:rsid w:val="00A9038E"/>
    <w:rsid w:val="00AB1B76"/>
    <w:rsid w:val="00AC2DB1"/>
    <w:rsid w:val="00AC74ED"/>
    <w:rsid w:val="00B1002C"/>
    <w:rsid w:val="00B142D8"/>
    <w:rsid w:val="00B158B4"/>
    <w:rsid w:val="00B16744"/>
    <w:rsid w:val="00B262AF"/>
    <w:rsid w:val="00B30E33"/>
    <w:rsid w:val="00B31FDB"/>
    <w:rsid w:val="00B65EA7"/>
    <w:rsid w:val="00B66A5C"/>
    <w:rsid w:val="00B96F0D"/>
    <w:rsid w:val="00BB2441"/>
    <w:rsid w:val="00BC22E4"/>
    <w:rsid w:val="00BD13FC"/>
    <w:rsid w:val="00BE0742"/>
    <w:rsid w:val="00BE2BF0"/>
    <w:rsid w:val="00BF793C"/>
    <w:rsid w:val="00C05701"/>
    <w:rsid w:val="00C10A64"/>
    <w:rsid w:val="00C1242A"/>
    <w:rsid w:val="00C46961"/>
    <w:rsid w:val="00C52961"/>
    <w:rsid w:val="00C54FC7"/>
    <w:rsid w:val="00C7117A"/>
    <w:rsid w:val="00C75886"/>
    <w:rsid w:val="00C9300E"/>
    <w:rsid w:val="00CA35BA"/>
    <w:rsid w:val="00CD652F"/>
    <w:rsid w:val="00D120FD"/>
    <w:rsid w:val="00D2115D"/>
    <w:rsid w:val="00D21177"/>
    <w:rsid w:val="00D372D6"/>
    <w:rsid w:val="00D56F6B"/>
    <w:rsid w:val="00D90D70"/>
    <w:rsid w:val="00D92ED5"/>
    <w:rsid w:val="00DA3CE1"/>
    <w:rsid w:val="00DA6907"/>
    <w:rsid w:val="00DB06B4"/>
    <w:rsid w:val="00DB1EE8"/>
    <w:rsid w:val="00DB38B8"/>
    <w:rsid w:val="00DB3C3D"/>
    <w:rsid w:val="00DD581C"/>
    <w:rsid w:val="00DD6089"/>
    <w:rsid w:val="00E06530"/>
    <w:rsid w:val="00E42F20"/>
    <w:rsid w:val="00E46460"/>
    <w:rsid w:val="00E572B7"/>
    <w:rsid w:val="00E65198"/>
    <w:rsid w:val="00E73FAB"/>
    <w:rsid w:val="00E74EC8"/>
    <w:rsid w:val="00ED594E"/>
    <w:rsid w:val="00F24913"/>
    <w:rsid w:val="00F25554"/>
    <w:rsid w:val="00F3162C"/>
    <w:rsid w:val="00F341A9"/>
    <w:rsid w:val="00F42E35"/>
    <w:rsid w:val="00F44461"/>
    <w:rsid w:val="00F5181C"/>
    <w:rsid w:val="00F62564"/>
    <w:rsid w:val="00F663F2"/>
    <w:rsid w:val="00FA3416"/>
    <w:rsid w:val="00FD4A10"/>
    <w:rsid w:val="00FD5129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9367B-FB82-4256-8651-0BE89556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Wingdings" w:eastAsiaTheme="minorHAnsi" w:hAnsi="Wingdings" w:cs="Wingdings"/>
        <w:color w:val="000000"/>
        <w:sz w:val="27"/>
        <w:szCs w:val="27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25554"/>
    <w:rPr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E6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5378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378FD"/>
    <w:rPr>
      <w:rFonts w:ascii="Times New Roman" w:eastAsia="Times New Roman" w:hAnsi="Times New Roman" w:cs="Times New Roman"/>
      <w:b/>
      <w:bCs/>
      <w:color w:val="auto"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5378FD"/>
    <w:rPr>
      <w:strike w:val="0"/>
      <w:dstrike w:val="0"/>
      <w:color w:val="157FCC"/>
      <w:u w:val="none"/>
      <w:effect w:val="none"/>
    </w:rPr>
  </w:style>
  <w:style w:type="paragraph" w:customStyle="1" w:styleId="cf0">
    <w:name w:val="cf0"/>
    <w:basedOn w:val="Norml"/>
    <w:rsid w:val="005378F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E6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4A00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A005A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4A00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005A"/>
    <w:rPr>
      <w:lang w:val="en-US"/>
    </w:rPr>
  </w:style>
  <w:style w:type="paragraph" w:styleId="Listaszerbekezds">
    <w:name w:val="List Paragraph"/>
    <w:basedOn w:val="Norml"/>
    <w:uiPriority w:val="34"/>
    <w:qFormat/>
    <w:rsid w:val="00DB3C3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A3416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val="hu-HU"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D4A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0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8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jogtar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j.jogtar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uj.jogtar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3402</Words>
  <Characters>23478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26827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gyorgy_lukucza</dc:creator>
  <cp:lastModifiedBy>Lukucza György</cp:lastModifiedBy>
  <cp:revision>10</cp:revision>
  <cp:lastPrinted>2016-11-15T09:19:00Z</cp:lastPrinted>
  <dcterms:created xsi:type="dcterms:W3CDTF">2018-03-05T13:05:00Z</dcterms:created>
  <dcterms:modified xsi:type="dcterms:W3CDTF">2018-03-12T09:59:00Z</dcterms:modified>
</cp:coreProperties>
</file>